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media/image20.jpeg" ContentType="image/jpeg"/>
  <Override PartName="/word/media/image19.png" ContentType="image/png"/>
  <Override PartName="/word/media/image17.jpeg" ContentType="image/jpeg"/>
  <Override PartName="/word/media/image16.jpeg" ContentType="image/jpeg"/>
  <Override PartName="/word/media/image14.jpeg" ContentType="image/jpeg"/>
  <Override PartName="/word/media/image13.jpeg" ContentType="image/jpeg"/>
  <Override PartName="/word/media/image12.png" ContentType="image/png"/>
  <Override PartName="/word/media/image9.jpeg" ContentType="image/jpeg"/>
  <Override PartName="/word/media/image15.png" ContentType="image/png"/>
  <Override PartName="/word/media/image4.emf" ContentType="image/x-emf"/>
  <Override PartName="/word/media/image18.jpeg" ContentType="image/jpeg"/>
  <Override PartName="/word/media/image11.tif" ContentType="image/tiff"/>
  <Override PartName="/word/media/image1.jpeg" ContentType="image/jpeg"/>
  <Override PartName="/word/media/image2.png" ContentType="image/png"/>
  <Override PartName="/word/media/image5.emf" ContentType="image/x-emf"/>
  <Override PartName="/word/media/image3.emf" ContentType="image/x-emf"/>
  <Override PartName="/word/media/image10.jpeg" ContentType="image/jpeg"/>
  <Override PartName="/word/media/image7.emf" ContentType="image/x-emf"/>
  <Override PartName="/word/media/image6.emf" ContentType="image/x-emf"/>
  <Override PartName="/word/media/image8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mbeddings/oleObject5.bin" ContentType="application/vnd.openxmlformats-officedocument.oleObject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PFBeauSansPro" w:hAnsi="PFBeauSansPro" w:eastAsia="Times New Roman" w:cs="Times New Roman"/>
          <w:sz w:val="38"/>
          <w:szCs w:val="76"/>
          <w:lang w:eastAsia="zh-CN"/>
        </w:rPr>
      </w:pPr>
      <w:bookmarkStart w:id="0" w:name="_GoBack"/>
      <w:bookmarkEnd w:id="0"/>
      <w:r>
        <w:rPr>
          <w:rFonts w:eastAsia="Times New Roman" w:cs="Times New Roman" w:ascii="PFBeauSansPro" w:hAnsi="PFBeauSansPro"/>
          <w:sz w:val="38"/>
          <w:szCs w:val="76"/>
          <w:lang w:eastAsia="zh-CN"/>
        </w:rPr>
        <w:t>Национальный проект «Образование»</w:t>
      </w:r>
    </w:p>
    <w:p>
      <w:pPr>
        <w:pStyle w:val="Normal"/>
        <w:jc w:val="center"/>
        <w:rPr>
          <w:rFonts w:ascii="PFBeauSansPro" w:hAnsi="PFBeauSansPro" w:eastAsia="Times New Roman" w:cs="Times New Roman"/>
          <w:sz w:val="38"/>
          <w:szCs w:val="76"/>
          <w:lang w:eastAsia="zh-CN"/>
        </w:rPr>
      </w:pPr>
      <w:r>
        <w:rPr>
          <w:rFonts w:eastAsia="Times New Roman" w:cs="Times New Roman" w:ascii="PFBeauSansPro" w:hAnsi="PFBeauSansPro"/>
          <w:sz w:val="38"/>
          <w:szCs w:val="76"/>
          <w:lang w:eastAsia="zh-CN"/>
        </w:rPr>
        <w:t>Федеральный проект «Успех каждого ребенка»</w:t>
      </w:r>
    </w:p>
    <w:p>
      <w:pPr>
        <w:pStyle w:val="Normal"/>
        <w:jc w:val="center"/>
        <w:rPr>
          <w:rFonts w:ascii="PFBeauSansPro" w:hAnsi="PFBeauSansPro" w:eastAsia="Times New Roman" w:cs="Times New Roman"/>
          <w:sz w:val="48"/>
          <w:szCs w:val="76"/>
          <w:lang w:eastAsia="zh-CN"/>
        </w:rPr>
      </w:pPr>
      <w:r>
        <w:rPr>
          <w:rFonts w:eastAsia="Times New Roman" w:cs="Times New Roman" w:ascii="PFBeauSansPro" w:hAnsi="PFBeauSansPro"/>
          <w:sz w:val="48"/>
          <w:szCs w:val="76"/>
          <w:lang w:eastAsia="zh-CN"/>
        </w:rPr>
      </w:r>
    </w:p>
    <w:p>
      <w:pPr>
        <w:pStyle w:val="Normal"/>
        <w:jc w:val="center"/>
        <w:rPr>
          <w:rFonts w:ascii="PFBeauSansPro" w:hAnsi="PFBeauSansPro" w:eastAsia="Times New Roman" w:cs="Times New Roman"/>
          <w:sz w:val="48"/>
          <w:szCs w:val="76"/>
          <w:lang w:eastAsia="zh-CN"/>
        </w:rPr>
      </w:pPr>
      <w:r>
        <w:rPr>
          <w:rFonts w:eastAsia="Times New Roman" w:cs="Times New Roman" w:ascii="PFBeauSansPro" w:hAnsi="PFBeauSansPro"/>
          <w:sz w:val="48"/>
          <w:szCs w:val="76"/>
          <w:lang w:eastAsia="zh-CN"/>
        </w:rPr>
      </w:r>
    </w:p>
    <w:p>
      <w:pPr>
        <w:pStyle w:val="Normal"/>
        <w:jc w:val="center"/>
        <w:rPr>
          <w:rFonts w:ascii="PFBeauSansPro" w:hAnsi="PFBeauSansPro" w:eastAsia="Times New Roman" w:cs="Times New Roman"/>
          <w:sz w:val="48"/>
          <w:szCs w:val="76"/>
          <w:lang w:eastAsia="zh-CN"/>
        </w:rPr>
      </w:pPr>
      <w:r>
        <w:rPr>
          <w:rFonts w:eastAsia="Times New Roman" w:cs="Times New Roman" w:ascii="PFBeauSansPro" w:hAnsi="PFBeauSansPro"/>
          <w:sz w:val="48"/>
          <w:szCs w:val="76"/>
          <w:lang w:eastAsia="zh-C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  <w:sz w:val="2"/>
        </w:rPr>
      </w:pPr>
      <w:r>
        <w:rPr>
          <w:rFonts w:eastAsia="Times New Roman" w:cs="Times New Roman" w:ascii="PFBeauSansPro" w:hAnsi="PFBeauSansPro"/>
          <w:sz w:val="48"/>
          <w:szCs w:val="76"/>
          <w:lang w:eastAsia="zh-CN"/>
        </w:rPr>
        <w:t>Типовая модель создания новых мест для дополнительного образования детей естественнонаучной направленности</w:t>
      </w:r>
    </w:p>
    <w:p>
      <w:pPr>
        <w:pStyle w:val="Normal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/>
        <w:drawing>
          <wp:inline distT="0" distB="0" distL="0" distR="0">
            <wp:extent cx="3406775" cy="3152775"/>
            <wp:effectExtent l="0" t="0" r="0" b="0"/>
            <wp:docPr id="1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iCs/>
          <w:sz w:val="8"/>
        </w:rPr>
      </w:pPr>
      <w:r>
        <w:rPr>
          <w:rFonts w:eastAsia="Times New Roman" w:cs="Times New Roman" w:ascii="PFBeauSansPro" w:hAnsi="PFBeauSansPro"/>
          <w:sz w:val="28"/>
          <w:szCs w:val="76"/>
          <w:lang w:eastAsia="zh-CN"/>
        </w:rPr>
        <w:t>Москва, 2020</w:t>
      </w:r>
      <w:r>
        <w:br w:type="page"/>
      </w:r>
    </w:p>
    <w:p>
      <w:pPr>
        <w:pStyle w:val="Normal"/>
        <w:spacing w:lineRule="auto" w:line="360"/>
        <w:ind w:firstLine="709"/>
        <w:jc w:val="center"/>
        <w:rPr>
          <w:rFonts w:ascii="Times New Roman" w:hAnsi="Times New Roman" w:cs="Times New Roman"/>
          <w:b/>
          <w:b/>
          <w:bCs/>
          <w:iCs/>
          <w:sz w:val="28"/>
        </w:rPr>
      </w:pPr>
      <w:r>
        <w:rPr>
          <w:rFonts w:cs="Times New Roman" w:ascii="Times New Roman" w:hAnsi="Times New Roman"/>
          <w:b/>
          <w:bCs/>
          <w:iCs/>
          <w:sz w:val="28"/>
        </w:rPr>
        <w:t>Содержание</w:t>
      </w:r>
    </w:p>
    <w:p>
      <w:pPr>
        <w:pStyle w:val="Normal"/>
        <w:spacing w:lineRule="auto" w:line="360"/>
        <w:rPr>
          <w:rFonts w:ascii="Times New Roman" w:hAnsi="Times New Roman" w:cs="Times New Roman"/>
          <w:bCs/>
          <w:iCs/>
          <w:sz w:val="28"/>
        </w:rPr>
      </w:pPr>
      <w:r>
        <w:rPr>
          <w:rFonts w:cs="Times New Roman" w:ascii="Times New Roman" w:hAnsi="Times New Roman"/>
          <w:bCs/>
          <w:iCs/>
          <w:sz w:val="28"/>
        </w:rPr>
        <w:t>Введение</w:t>
      </w:r>
    </w:p>
    <w:p>
      <w:pPr>
        <w:pStyle w:val="Normal"/>
        <w:spacing w:lineRule="auto" w:line="360"/>
        <w:rPr>
          <w:rFonts w:ascii="Times New Roman" w:hAnsi="Times New Roman" w:cs="Times New Roman"/>
          <w:bCs/>
          <w:iCs/>
          <w:sz w:val="28"/>
        </w:rPr>
      </w:pPr>
      <w:r>
        <w:rPr>
          <w:rFonts w:cs="Times New Roman" w:ascii="Times New Roman" w:hAnsi="Times New Roman"/>
          <w:bCs/>
          <w:iCs/>
          <w:sz w:val="28"/>
          <w:lang w:val="en-US"/>
        </w:rPr>
        <w:t>I</w:t>
      </w:r>
      <w:r>
        <w:rPr>
          <w:rFonts w:cs="Times New Roman" w:ascii="Times New Roman" w:hAnsi="Times New Roman"/>
          <w:bCs/>
          <w:iCs/>
          <w:sz w:val="28"/>
        </w:rPr>
        <w:t>. Общие положения</w:t>
      </w:r>
    </w:p>
    <w:p>
      <w:pPr>
        <w:pStyle w:val="Normal"/>
        <w:spacing w:lineRule="auto" w:line="360"/>
        <w:rPr>
          <w:rFonts w:ascii="Times New Roman" w:hAnsi="Times New Roman" w:cs="Times New Roman"/>
          <w:bCs/>
          <w:iCs/>
          <w:sz w:val="28"/>
        </w:rPr>
      </w:pPr>
      <w:r>
        <w:rPr>
          <w:rFonts w:cs="Times New Roman" w:ascii="Times New Roman" w:hAnsi="Times New Roman"/>
          <w:bCs/>
          <w:iCs/>
          <w:sz w:val="28"/>
          <w:lang w:val="en-US"/>
        </w:rPr>
        <w:t>II</w:t>
      </w:r>
      <w:r>
        <w:rPr>
          <w:rFonts w:cs="Times New Roman" w:ascii="Times New Roman" w:hAnsi="Times New Roman"/>
          <w:bCs/>
          <w:iCs/>
          <w:sz w:val="28"/>
        </w:rPr>
        <w:t xml:space="preserve">. Основные рекомендации к обновлению содержания и организации образовательной деятельности </w:t>
      </w:r>
    </w:p>
    <w:p>
      <w:pPr>
        <w:pStyle w:val="ListParagraph"/>
        <w:spacing w:lineRule="auto" w:line="360"/>
        <w:ind w:left="0" w:hanging="0"/>
        <w:rPr>
          <w:rFonts w:ascii="Times New Roman" w:hAnsi="Times New Roman" w:cs="Times New Roman" w:asciiTheme="majorBidi" w:cstheme="majorBidi" w:hAnsiTheme="majorBidi"/>
          <w:sz w:val="28"/>
        </w:rPr>
      </w:pPr>
      <w:r>
        <w:rPr>
          <w:rFonts w:cs="Times New Roman" w:ascii="Times New Roman" w:hAnsi="Times New Roman" w:asciiTheme="majorBidi" w:cstheme="majorBidi" w:hAnsiTheme="majorBidi"/>
          <w:sz w:val="28"/>
          <w:lang w:val="en-US"/>
        </w:rPr>
        <w:t>III</w:t>
      </w:r>
      <w:r>
        <w:rPr>
          <w:rFonts w:cs="Times New Roman" w:ascii="Times New Roman" w:hAnsi="Times New Roman" w:asciiTheme="majorBidi" w:cstheme="majorBidi" w:hAnsiTheme="majorBidi"/>
          <w:sz w:val="28"/>
        </w:rPr>
        <w:t>. Основные рекомендации к создаваемой инфраструктуре</w:t>
      </w:r>
    </w:p>
    <w:p>
      <w:pPr>
        <w:pStyle w:val="ListParagraph"/>
        <w:spacing w:lineRule="auto" w:line="360"/>
        <w:ind w:left="0" w:hanging="0"/>
        <w:rPr>
          <w:rFonts w:ascii="Times New Roman" w:hAnsi="Times New Roman" w:cs="Times New Roman" w:asciiTheme="majorBidi" w:cstheme="majorBidi" w:hAnsiTheme="majorBidi"/>
          <w:sz w:val="28"/>
        </w:rPr>
      </w:pPr>
      <w:r>
        <w:rPr>
          <w:rFonts w:cs="Times New Roman" w:ascii="Times New Roman" w:hAnsi="Times New Roman" w:asciiTheme="majorBidi" w:cstheme="majorBidi" w:hAnsiTheme="majorBidi"/>
          <w:sz w:val="28"/>
          <w:lang w:val="en-US"/>
        </w:rPr>
        <w:t>IV</w:t>
      </w:r>
      <w:r>
        <w:rPr>
          <w:rFonts w:cs="Times New Roman" w:ascii="Times New Roman" w:hAnsi="Times New Roman" w:asciiTheme="majorBidi" w:cstheme="majorBidi" w:hAnsiTheme="majorBidi"/>
          <w:sz w:val="28"/>
        </w:rPr>
        <w:t>. Основные рекомендации к кадровому обеспечению и ключевые участники</w:t>
      </w:r>
    </w:p>
    <w:p>
      <w:pPr>
        <w:pStyle w:val="ListParagraph"/>
        <w:spacing w:lineRule="auto" w:line="360"/>
        <w:ind w:left="0" w:hanging="0"/>
        <w:rPr>
          <w:rFonts w:ascii="Times New Roman" w:hAnsi="Times New Roman" w:cs="Times New Roman" w:asciiTheme="majorBidi" w:cstheme="majorBidi" w:hAnsiTheme="majorBidi"/>
          <w:sz w:val="28"/>
        </w:rPr>
      </w:pPr>
      <w:r>
        <w:rPr>
          <w:rFonts w:cs="Times New Roman" w:cstheme="majorBidi" w:ascii="Times New Roman" w:hAnsi="Times New Roman"/>
          <w:sz w:val="28"/>
        </w:rPr>
      </w:r>
    </w:p>
    <w:p>
      <w:pPr>
        <w:pStyle w:val="ListParagraph"/>
        <w:spacing w:lineRule="auto" w:line="360"/>
        <w:ind w:left="0" w:hanging="0"/>
        <w:rPr>
          <w:rFonts w:ascii="Times New Roman" w:hAnsi="Times New Roman" w:cs="Times New Roman" w:asciiTheme="majorBidi" w:cstheme="majorBidi" w:hAnsiTheme="majorBidi"/>
          <w:sz w:val="28"/>
        </w:rPr>
      </w:pPr>
      <w:r>
        <w:rPr>
          <w:rFonts w:cs="Times New Roman" w:ascii="Times New Roman" w:hAnsi="Times New Roman" w:asciiTheme="majorBidi" w:cstheme="majorBidi" w:hAnsiTheme="majorBidi"/>
          <w:sz w:val="28"/>
        </w:rPr>
        <w:t>Приложения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1. Примерная «дорожная карта» реализации типовой модели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2. Примерная информационная стратегия типовой модели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3. Основные индикаторы и показатели типовой модели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и методика их расчета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5. Примерная дополнительная общеразвивающая программа для типовой модели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6. Пример расчета затрат на реализацию типовой модели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7. Примерные перечни средств обучения и воспитания типовой модели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8. Рекомендации по брендированию и фирменному стилю типовой модели</w:t>
      </w:r>
    </w:p>
    <w:p>
      <w:pPr>
        <w:pStyle w:val="Normal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  <w:r>
        <w:br w:type="page"/>
      </w:r>
    </w:p>
    <w:p>
      <w:pPr>
        <w:pStyle w:val="ListParagraph"/>
        <w:spacing w:lineRule="auto" w:line="360"/>
        <w:ind w:left="0" w:hanging="0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  <w:t>Введение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Cs/>
          <w:iCs/>
        </w:rPr>
      </w:pPr>
      <w:r>
        <w:rPr>
          <w:rFonts w:cs="Times New Roman" w:ascii="Times New Roman" w:hAnsi="Times New Roman"/>
          <w:bCs/>
          <w:iCs/>
        </w:rPr>
        <w:t>Типовая модель создания новых мест для региональных систем дополнительного образования детей по естественнонаучной направленности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  <w:shd w:fill="FFFFFF" w:val="clear"/>
        </w:rPr>
        <w:t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естественнонаучной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  <w:lang w:val="en-US"/>
        </w:rPr>
        <w:t>I</w:t>
      </w:r>
      <w:r>
        <w:rPr>
          <w:rFonts w:cs="Times New Roman" w:ascii="Times New Roman" w:hAnsi="Times New Roman"/>
          <w:b/>
          <w:bCs/>
        </w:rPr>
        <w:t>. Общие положения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Типовая модель создания новых мест (развития инфраструктурной оставляющей) в региональных системах дополнительного образования (далее – Типовая модель) является организационно-методическим руководством к созданию новых мест дополнительного образования в субъектах РФ по естественнонаучной направленности.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«Создание новых мест в образовательных организациях различных типов для реализации дополнительных общеразвивающих программ – мероприятие государственной программы Российской Федерации «Развитие образования» в рамках которого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в соответствии с Правилами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 в составе пакета модельных управленческих решений по созданию инфраструктуры для реализации дополнительных общеобразовательных программ естественнонаучной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в соответствии с их территориальными особенностями и стратегиями социально-экономического и пространственного развития.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Типовая модель развития инфраструктурной составляющей региональных систем дополнительного образования естественнонаучной направленности «Диалог наук» создается с целью: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программам естественнонаучной направленности.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создание стимулирующей образовательной среды, которая поддерживает самостоятельные учебные усилия школьников через активное практическое обучение и творческую деятельность в области естественных наук.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Функциональное назначение модели – создание условий и новых возможностей для: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общего развития личности ребенка, формирования и развития научного мировоззрения и мышления, освоения методов научного познания мира, исследовательских способностей;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формирования и развития творческих способностей, удовлетворения индивидуальных потребностей в интеллектуальном совершенствовании;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профессиональной ориентации учащихся на освоение компетенций, востребованных в научных отраслях, экономике страны и региона;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индивидуального прогресса обучающихся, их совместной работы над проектами и практическими продуктами;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выявления и поддержки детей, проявивших выдающиеся способности в области естественных наук.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Модель направлена на создание новых мест дополнительного образования детей, обеспечивающих увеличение охвата детей программами дополнительного образования.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Деятельность в рамках типовой модели осуществляется в течение всего года посредством: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реализации дополнительных общеразвивающих программ (в т.ч. модульных, разноуровневых, комплексных);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проведения образовательных, учебно-исследовательских и социокультурных мероприятий;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организации стажировки и практической подготовки, профессиональных проб;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разработки и реализации интегрированных курсов внеурочной деятельности.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Построение типовой модели «Диалог наук» базируется на принципе  «открытости», что позволяет конструировать ее содержание под реальные условия и локальные задачи, комбинируя его с другими направленностями: с одной стороны, типовая модель  жестко регламентирована, то есть имеет рамку масштаба и характера решений, требований к содержанию, результатам, брендированию, кадровому и инфраструктурному обеспечению, соответствия средств обучения и воспитания тематике и педагогическим задачам дополнительных общеобразовательных программ;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другой стороны, предусмотрена гибкая регламентация состава образовательных направлений и тематик дополнительных общеобразовательных программ, штатного расписания, конкретизации необходимого оборудования, состава партнеров и участников образовательной деятельности.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 мере развития технологий расширяются ключевые (надпрофессиональные и метапредметные) компетенции, развитие которых преимущественно связывается с реализацией данной модели.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Целевая аудитория типовой модели «Диалог наук» преимущественно учащиеся средней и старшей школы, студенты организаций профессионального образования.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учащихся начальной школы возможна реализация образовательных программ, знакомящих их с областями деятельности, сообразными образовательным направлениям модели, в игровой и познавательной форме.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Реализация модели в зависимости от педагогических и управленческих задач в различных типах территорий (сельская местность, малые города, моногорода и т.д.) возможна как на базе существующих, так и вновь создаваемых площадках, которыми могут являться как образовательные организации, так и не образовательные организации (с условием получения лицензии на образовательную деятельность или без таковой – как ресурсный партнер в сетевой форме реализации программы)</w:t>
      </w:r>
      <w:r>
        <w:rPr>
          <w:rStyle w:val="FootnoteCharacters"/>
          <w:rStyle w:val="Style15"/>
          <w:rFonts w:cs="Times New Roman" w:ascii="Times New Roman" w:hAnsi="Times New Roman"/>
        </w:rPr>
        <w:footnoteReference w:id="2"/>
      </w:r>
      <w:r>
        <w:rPr>
          <w:rFonts w:cs="Times New Roman" w:ascii="Times New Roman" w:hAnsi="Times New Roman"/>
        </w:rPr>
        <w:t xml:space="preserve">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Инфраструктурные ресурсы обеспечивают реализацию дополнительных общеобразовательных программ с учетом использования современных технологий, новых форм и методов обучения по дополнительным общеобразовательным программам естественнонаучной направленности.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Создание и развитие новых инфраструктурных ресурсов для новых мест дополнительного образования детей естественнонаучной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качестве основных векторов инфраструктурного обеспечения Типовой модели для разных территорий (сельская местность, моногород и др.) предлагается рассматривать: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дифференциацию масштаба (</w:t>
      </w:r>
      <w:r>
        <w:rPr>
          <w:rFonts w:cs="Times New Roman" w:ascii="Times New Roman" w:hAnsi="Times New Roman"/>
          <w:lang w:val="en-US"/>
        </w:rPr>
        <w:t>S</w:t>
      </w:r>
      <w:r>
        <w:rPr>
          <w:rFonts w:cs="Times New Roman" w:ascii="Times New Roman" w:hAnsi="Times New Roman"/>
        </w:rPr>
        <w:t xml:space="preserve">, </w:t>
      </w:r>
      <w:r>
        <w:rPr>
          <w:rFonts w:cs="Times New Roman" w:ascii="Times New Roman" w:hAnsi="Times New Roman"/>
          <w:lang w:val="en-US"/>
        </w:rPr>
        <w:t>M</w:t>
      </w:r>
      <w:r>
        <w:rPr>
          <w:rFonts w:cs="Times New Roman" w:ascii="Times New Roman" w:hAnsi="Times New Roman"/>
        </w:rPr>
        <w:t xml:space="preserve">, </w:t>
      </w:r>
      <w:r>
        <w:rPr>
          <w:rFonts w:cs="Times New Roman" w:ascii="Times New Roman" w:hAnsi="Times New Roman"/>
          <w:lang w:val="en-US"/>
        </w:rPr>
        <w:t>L</w:t>
      </w:r>
      <w:r>
        <w:rPr>
          <w:rFonts w:cs="Times New Roman" w:ascii="Times New Roman" w:hAnsi="Times New Roman"/>
        </w:rPr>
        <w:t xml:space="preserve">, </w:t>
      </w:r>
      <w:r>
        <w:rPr>
          <w:rFonts w:cs="Times New Roman" w:ascii="Times New Roman" w:hAnsi="Times New Roman"/>
          <w:lang w:val="en-US"/>
        </w:rPr>
        <w:t>XL</w:t>
      </w:r>
      <w:r>
        <w:rPr>
          <w:rFonts w:cs="Times New Roman" w:ascii="Times New Roman" w:hAnsi="Times New Roman"/>
        </w:rPr>
        <w:t>);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типологию решений (стационарное, мобильное, дистанционное, сетевое).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Ключевой особенностью типовой модели является единство </w:t>
      </w:r>
      <w:r>
        <w:rPr>
          <w:rFonts w:cs="Times New Roman" w:ascii="Times New Roman" w:hAnsi="Times New Roman"/>
          <w:i/>
          <w:iCs/>
        </w:rPr>
        <w:t>содержательного, кадрового и инфраструктурного</w:t>
      </w:r>
      <w:r>
        <w:rPr>
          <w:rFonts w:cs="Times New Roman" w:ascii="Times New Roman" w:hAnsi="Times New Roman"/>
        </w:rPr>
        <w:t xml:space="preserve"> компонентов.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Деятельность созданных в рамках модели новых мест дополнительного образования осуществляется в течение всего года посредством реализации дополнительных общеразвивающих программ, проектируемых на основе: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принципов модульности и разноуровневости;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интенсивных форматов организации образовательных и социокультурных мероприятий (каникулярных программ, выездов, сборов, хакатонов, конкурсов и соревнований и др.);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организации профессиональных проб и практик;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реализации интегрированных курсов внеурочной деятельности;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взаимозачета результатов («зачет» в основную образовательную программу занятий по программе дополнительного образования).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Планирование реализации типовой модели «Диалог наук» осуществляется в соответствии примерной Дорожной картой (Приложение 1).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Информационное сопровождение реализации модели осуществляется в соответствии с примерной информационной стратегией (Приложение 2).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Ожидаемые результаты внедрения Типовой модели</w:t>
      </w:r>
      <w:r>
        <w:rPr>
          <w:rFonts w:cs="Times New Roman" w:ascii="Times New Roman" w:hAnsi="Times New Roman"/>
        </w:rPr>
        <w:t xml:space="preserve"> «Диалог наук»: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увеличение количества учащихся в разных типах территорий, занимающихся по разнообразным программам дополнительного образования естественнонаучной направленности;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увеличение количества новых учащихся по естественнонаучной направленности, ранее не занимавшихся дополнительным образованием;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увеличение количества новых дополнительных общеразвивающих программ естественнонаучной направленности, сообразным приоритетам обновления содержания, форм, методов и технологий дополнительного образования, образовательным потребностям и индивидуальными возможностями детей и подростков, интересами семьи и общества, региональной идентичности;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увеличение количества участников, призеров и победителей конкурсных мероприятий различного уровня естественнонаучной профиля;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повышение результатов независимой оценки качества дополнительного образования;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увеличение количества выявленных и поддержанных молодых талантов в области научной и исследовательской деятельности.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Основные индикаторы и показатели эффективности реализации типовой модели «Диалог наук», методика их расчета представлены в приложении 3.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 требуется их предварительная инвентаризация и самообследование (Приложение 4).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  <w:lang w:val="en-US"/>
        </w:rPr>
        <w:t>II</w:t>
      </w:r>
      <w:r>
        <w:rPr>
          <w:rFonts w:cs="Times New Roman" w:ascii="Times New Roman" w:hAnsi="Times New Roman"/>
          <w:b/>
          <w:bCs/>
          <w:iCs/>
        </w:rPr>
        <w:t>.</w:t>
      </w:r>
      <w:r>
        <w:rPr>
          <w:rFonts w:eastAsia="Times New Roman" w:cs="Times New Roman" w:ascii="Times New Roman" w:hAnsi="Times New Roman"/>
          <w:b/>
          <w:bCs/>
          <w:iCs/>
          <w:lang w:eastAsia="zh-CN"/>
        </w:rPr>
        <w:t xml:space="preserve"> </w:t>
      </w:r>
      <w:r>
        <w:rPr>
          <w:rFonts w:cs="Times New Roman" w:ascii="Times New Roman" w:hAnsi="Times New Roman"/>
          <w:b/>
          <w:bCs/>
          <w:iCs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b/>
          <w:bCs/>
          <w:iCs/>
        </w:rPr>
      </w:pPr>
      <w:r>
        <w:rPr>
          <w:rFonts w:cs="Times New Roman" w:ascii="Times New Roman" w:hAnsi="Times New Roman"/>
          <w:b/>
          <w:bCs/>
          <w:iCs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Содержание типовой модели «Диалог наук» приоритетно ориентировано на определенные области деятельности, которые соотносятся с содержанием естественнонаучной направленности дополнительного образования.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Типовая модель создания новых мест дополнительного образования естественнонаучной направленности включает разнообразное тематическое содержание, сообразное современным требованиям к содержанию и технологиям, объединенное в образовательные направления (модули) модели.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Образовательное направление (модуль)</w:t>
      </w:r>
      <w:r>
        <w:rPr>
          <w:rFonts w:cs="Times New Roman" w:ascii="Times New Roman" w:hAnsi="Times New Roman"/>
        </w:rPr>
        <w:t xml:space="preserve"> представляет собой совокупность тематических блоков содержания для образовательных программ, отражающих определенную область или профиль деятельности, направления подготовки и профессии.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Перечень образовательных направлений не является избыточным и не стремится охватить все возможные области и направления в едином исполнении в рамках типовой модели.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Образовательные направления могут быть реализованы как отдельные модули (блоки) модели. 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образования в модели.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Типовая модель создания новых мест по естественнонаучной направленности дополнительного образования «Диалог наук» может включать следующие образовательные направления, определяющие содержание образовательной деятельности: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- </w:t>
      </w:r>
      <w:r>
        <w:rPr>
          <w:rFonts w:cs="Times New Roman" w:ascii="Times New Roman" w:hAnsi="Times New Roman"/>
          <w:i/>
          <w:iCs/>
        </w:rPr>
        <w:t>Биомедицина и «фарма»;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Астрономия и астрофизика;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Биотехнологии;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Ботаника и зоология;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Биоинженерия и нейротехниологии;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Биоинформатика;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Наноинженерия, нанофотоника и метаматериалы;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Экология и экомониторинг;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Агротехнологии и сельское хозяйство;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- Лесное дело и природопользование;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- и др</w:t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 содержание перечня направлений может быть включены другие образовательные направления, связанные с эколого-биологическим, физико-географическим, физико-химическим и эколого-биологическими профилями, не дублирующими содержание программ основного общего образования.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Типовая модель допускает комбинаторику контента тематических направлений. Содержание типовой модели может комбинироваться с образовательными направлениями других направленностей в соответствии с педагогическими задачами и для достижения новых образовательных результатов.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 каждому образовательному направлению (модулю) могут быть реализованы дополнительные общеразвивающие программы различного уровня в рамках обозначенной тематики.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Организация образовательной деятельности регламентируется Приказом Минпросвещения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обеспечения успешного образовательного процесса по дополнительным общеразвивающим программам, создания качественных условий для самостоятельной работы учащихся, оказания им педагогической помощи и поддержки в познавательной, творческой, проектной, исследовательской и коммуникативной деятельности разрабатывается программно-методический комплекс (ПМК).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Основные рекомендации к разработке программно-методического комплекса (ПМК) для примерной дополнительной общеразвивающей программы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обеспечения успешного образовательного процесса по дополнительным общеразвивающим программам, создания качественных условий для самостоятельной работы учащихся, оказания им педагогической помощи и поддержки в познавательной, творческой, проектной, исследовательской и коммуникативной деятельности разрабатывается ПМК, а</w:t>
      </w:r>
      <w:r>
        <w:rPr>
          <w:rFonts w:cs="Times New Roman" w:ascii="Times New Roman" w:hAnsi="Times New Roman"/>
          <w:iCs/>
        </w:rPr>
        <w:t>ктуальность</w:t>
      </w:r>
      <w:r>
        <w:rPr>
          <w:rFonts w:cs="Times New Roman" w:ascii="Times New Roman" w:hAnsi="Times New Roman"/>
        </w:rPr>
        <w:t xml:space="preserve"> разработки которого определяется необходимостью обновления содержания дополнительного образования детей в контексте реализации «Целевой модели развития региональных систем дополнительного образования», утвержденной приказом Министерства просвещения Российской Федерации от 3 сентября 2019 года № 467.</w:t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eastAsia="Calibri" w:cs="Times New Roman" w:ascii="Times New Roman" w:hAnsi="Times New Roman"/>
          <w:bCs/>
          <w:i/>
        </w:rPr>
        <w:t>Программно-методический комплекс</w:t>
      </w:r>
      <w:r>
        <w:rPr>
          <w:rFonts w:eastAsia="Calibri" w:cs="Times New Roman" w:ascii="Times New Roman" w:hAnsi="Times New Roman"/>
          <w:b/>
        </w:rPr>
        <w:t xml:space="preserve"> – </w:t>
      </w:r>
      <w:r>
        <w:rPr>
          <w:rFonts w:cs="Times New Roman" w:ascii="Times New Roman" w:hAnsi="Times New Roman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программы, являющейся ядром комплекса.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 xml:space="preserve">ПМК обладает рядом объективных качеств, позволяющих педагогу дополнительного образования более результативно решать вопросы организации своей деятельности: 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 xml:space="preserve">• </w:t>
      </w:r>
      <w:r>
        <w:rPr>
          <w:rFonts w:eastAsia="Calibri" w:cs="Times New Roman" w:ascii="Times New Roman" w:hAnsi="Times New Roman"/>
          <w:bCs/>
        </w:rPr>
        <w:t xml:space="preserve">организовать педагогический процесс в соответствии с современным уровнем развития науки, техники, культуры, социальной сферы; 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 xml:space="preserve">• </w:t>
      </w:r>
      <w:r>
        <w:rPr>
          <w:rFonts w:eastAsia="Calibri" w:cs="Times New Roman" w:ascii="Times New Roman" w:hAnsi="Times New Roman"/>
          <w:bCs/>
        </w:rPr>
        <w:t>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 xml:space="preserve">• </w:t>
      </w:r>
      <w:r>
        <w:rPr>
          <w:rFonts w:eastAsia="Calibri" w:cs="Times New Roman" w:ascii="Times New Roman" w:hAnsi="Times New Roman"/>
          <w:bCs/>
        </w:rPr>
        <w:t xml:space="preserve">сократить затраты ресурсов и времени при высоком качестве образовательных результатов; 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 xml:space="preserve">• </w:t>
      </w:r>
      <w:r>
        <w:rPr>
          <w:rFonts w:eastAsia="Calibri" w:cs="Times New Roman" w:ascii="Times New Roman" w:hAnsi="Times New Roman"/>
          <w:bCs/>
        </w:rPr>
        <w:t xml:space="preserve">повысить педагогическое мастерство, осуществляя анализ и самоанализ своей деятельности; 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 xml:space="preserve">• </w:t>
      </w:r>
      <w:r>
        <w:rPr>
          <w:rFonts w:eastAsia="Calibri" w:cs="Times New Roman" w:ascii="Times New Roman" w:hAnsi="Times New Roman"/>
          <w:bCs/>
        </w:rPr>
        <w:t xml:space="preserve">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 xml:space="preserve">• </w:t>
      </w:r>
      <w:r>
        <w:rPr>
          <w:rFonts w:eastAsia="Calibri" w:cs="Times New Roman" w:ascii="Times New Roman" w:hAnsi="Times New Roman"/>
          <w:bCs/>
        </w:rPr>
        <w:t>создать благоприятные условия для самореализации учащихся на занятиях, стимулировать индивидуальный выбор.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  <w:bCs/>
        </w:rPr>
      </w:pPr>
      <w:r>
        <w:rPr>
          <w:rFonts w:eastAsia="Calibri" w:cs="Times New Roman" w:ascii="Times New Roman" w:hAnsi="Times New Roman"/>
          <w:bCs/>
        </w:rPr>
        <w:t>Программно-методический комплекс может включать:</w:t>
      </w:r>
    </w:p>
    <w:p>
      <w:pPr>
        <w:pStyle w:val="ListParagraph"/>
        <w:numPr>
          <w:ilvl w:val="0"/>
          <w:numId w:val="10"/>
        </w:numPr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>пояснительную записку;</w:t>
      </w:r>
    </w:p>
    <w:p>
      <w:pPr>
        <w:pStyle w:val="ListParagraph"/>
        <w:numPr>
          <w:ilvl w:val="0"/>
          <w:numId w:val="10"/>
        </w:numPr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>дополнительную общеразвивающую программу (основной документ);</w:t>
      </w:r>
    </w:p>
    <w:p>
      <w:pPr>
        <w:pStyle w:val="ListParagraph"/>
        <w:numPr>
          <w:ilvl w:val="0"/>
          <w:numId w:val="10"/>
        </w:numPr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>пакет материалов, сопровождающих реализацию дополнительной общеразвивающей 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 xml:space="preserve">Программно-методический комплекс должен: </w:t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 xml:space="preserve">• </w:t>
      </w:r>
      <w:r>
        <w:rPr>
          <w:rFonts w:eastAsia="Calibri" w:cs="Times New Roman" w:ascii="Times New Roman" w:hAnsi="Times New Roman"/>
        </w:rPr>
        <w:t xml:space="preserve">предусматривать логически последовательное изложение учебного материала дополнительной общеразвивающей программы; </w:t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 xml:space="preserve">• </w:t>
      </w:r>
      <w:r>
        <w:rPr>
          <w:rFonts w:eastAsia="Calibri" w:cs="Times New Roman" w:ascii="Times New Roman" w:hAnsi="Times New Roman"/>
        </w:rPr>
        <w:t xml:space="preserve">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 xml:space="preserve">• </w:t>
      </w:r>
      <w:r>
        <w:rPr>
          <w:rFonts w:eastAsia="Calibri" w:cs="Times New Roman" w:ascii="Times New Roman" w:hAnsi="Times New Roman"/>
        </w:rPr>
        <w:t xml:space="preserve">соответствовать современным научным представлениям в области деятельности; </w:t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 xml:space="preserve">• </w:t>
      </w:r>
      <w:r>
        <w:rPr>
          <w:rFonts w:eastAsia="Calibri" w:cs="Times New Roman" w:ascii="Times New Roman" w:hAnsi="Times New Roman"/>
        </w:rPr>
        <w:t>обеспечивать межпредметные, интеграционные или конвергентные связи.</w:t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>Состав материалов, входящих в состав ПМК не может быть жестко определен, так как разработчик программы вправе самостоятельно решать, какие именно методические, дидактические и оценочные материалы сопровождают его программу.</w:t>
      </w:r>
    </w:p>
    <w:p>
      <w:pPr>
        <w:pStyle w:val="Normal"/>
        <w:tabs>
          <w:tab w:val="left" w:pos="0" w:leader="none"/>
          <w:tab w:val="left" w:pos="851" w:leader="none"/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>Включение в ПМК системы разноуровневых заданий, учитывающих наличие у учащихся разных темпераментов, типов мышления, видов памяти, позволяет идти в обучении от их индивидуальных, возрастных возможностей и потребностей, содействуя тем самым интеллектуальному и личностному развитию каждого учащегося.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Рекомендуемые подходы при проектировании УМК типовой модели:</w:t>
      </w:r>
    </w:p>
    <w:p>
      <w:pPr>
        <w:pStyle w:val="ListParagraph"/>
        <w:numPr>
          <w:ilvl w:val="0"/>
          <w:numId w:val="10"/>
        </w:numPr>
        <w:tabs>
          <w:tab w:val="left" w:pos="0" w:leader="none"/>
        </w:tabs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средовой подход</w:t>
      </w:r>
      <w:r>
        <w:rPr>
          <w:rFonts w:cs="Times New Roman" w:ascii="Times New Roman" w:hAnsi="Times New Roman"/>
        </w:rPr>
        <w:t xml:space="preserve"> – формирование и развитие личности учащегося через специально формируемой и управляемой стимулирующей образовательной среды, которая поддерживает его самостоятельные учебные усилия;</w:t>
      </w:r>
    </w:p>
    <w:p>
      <w:pPr>
        <w:pStyle w:val="ListParagraph"/>
        <w:numPr>
          <w:ilvl w:val="0"/>
          <w:numId w:val="10"/>
        </w:numPr>
        <w:tabs>
          <w:tab w:val="left" w:pos="0" w:leader="none"/>
        </w:tabs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программный подход</w:t>
      </w:r>
      <w:r>
        <w:rPr>
          <w:rFonts w:cs="Times New Roman" w:ascii="Times New Roman" w:hAnsi="Times New Roman"/>
        </w:rPr>
        <w:t xml:space="preserve"> – содержит общие требования к порядку обновления и содержания дополнительных общеобразовательных программ;</w:t>
      </w:r>
    </w:p>
    <w:p>
      <w:pPr>
        <w:pStyle w:val="ListParagraph"/>
        <w:numPr>
          <w:ilvl w:val="0"/>
          <w:numId w:val="10"/>
        </w:numPr>
        <w:tabs>
          <w:tab w:val="left" w:pos="0" w:leader="none"/>
        </w:tabs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экосистемный подход</w:t>
      </w:r>
      <w:r>
        <w:rPr>
          <w:rFonts w:cs="Times New Roman" w:ascii="Times New Roman" w:hAnsi="Times New Roman"/>
        </w:rPr>
        <w:t xml:space="preserve"> – развитие региональной системы дополнительного образования с опорой на динамичные развивающиеся сообщества и агентность, состоящих из субъектов из разных секторов, которые совместно развивают компетенции вокруг инновации, с которой они работают в кооперативной и конкурентной логике;</w:t>
      </w:r>
    </w:p>
    <w:p>
      <w:pPr>
        <w:pStyle w:val="ListParagraph"/>
        <w:numPr>
          <w:ilvl w:val="0"/>
          <w:numId w:val="10"/>
        </w:numPr>
        <w:tabs>
          <w:tab w:val="left" w:pos="0" w:leader="none"/>
        </w:tabs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компетентностный подход</w:t>
      </w:r>
      <w:r>
        <w:rPr>
          <w:rFonts w:cs="Times New Roman" w:ascii="Times New Roman" w:hAnsi="Times New Roman"/>
        </w:rPr>
        <w:t xml:space="preserve"> – ориентация содержания образовательной деятельности на формирование универсальных компетентностей – познания (мышления), взаимодействия с другими людьми, взаимодействия с собой;</w:t>
      </w:r>
    </w:p>
    <w:p>
      <w:pPr>
        <w:pStyle w:val="ListParagraph"/>
        <w:numPr>
          <w:ilvl w:val="0"/>
          <w:numId w:val="10"/>
        </w:numPr>
        <w:tabs>
          <w:tab w:val="left" w:pos="0" w:leader="none"/>
        </w:tabs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конвергентный подход</w:t>
      </w:r>
      <w:r>
        <w:rPr>
          <w:rFonts w:cs="Times New Roman" w:ascii="Times New Roman" w:hAnsi="Times New Roman"/>
        </w:rPr>
        <w:t xml:space="preserve"> – создание образовательных сред нового, «конвергентного» типа, в которых взаимно объединяются естественнонаучные и гуманитарные технологии, что позволяет обеспечить другой тип деятельности и результата (мета-результат, «сквозной» результат);</w:t>
      </w:r>
    </w:p>
    <w:p>
      <w:pPr>
        <w:pStyle w:val="ListParagraph"/>
        <w:numPr>
          <w:ilvl w:val="0"/>
          <w:numId w:val="10"/>
        </w:numPr>
        <w:tabs>
          <w:tab w:val="left" w:pos="0" w:leader="none"/>
        </w:tabs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деятельностный подход</w:t>
      </w:r>
      <w:r>
        <w:rPr>
          <w:rFonts w:cs="Times New Roman" w:ascii="Times New Roman" w:hAnsi="Times New Roman"/>
        </w:rPr>
        <w:t xml:space="preserve"> – обновление содержания и технологий дополнительного образования  следует определять как результат целесообразного научно-практического взаимодействия субъектов образовательных отношений и стейколдеров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Структурирование контента на уровне фундаментальных понятий и создание учебных ситуаций, в которых обучение происходит благодаря самостоятельным исследовательским усилиям и совместной проектной деятельности.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Содержание образования</w:t>
      </w:r>
      <w:r>
        <w:rPr>
          <w:rFonts w:cs="Times New Roman" w:ascii="Times New Roman" w:hAnsi="Times New Roman"/>
        </w:rPr>
        <w:t xml:space="preserve"> в типовой модели понимается как система взаимосвязанных компонентов – результаты («образ»), практики («как») и контент («что»).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отношении содержания дополнительных общеразвивающих программ должны соблюдаться принципы научности, наглядности, доступности. Отдельные части программы должны иметь связи между собой, что обеспечит целостную систему естественнонаучных знаний. В отношении построения программ важнейшим требованием является преобладание часов, отведенных практическим, лабораторным занятиям и полевым практикам.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 xml:space="preserve">Планируемый образовательный результат </w:t>
      </w:r>
    </w:p>
    <w:p>
      <w:pPr>
        <w:pStyle w:val="Normal"/>
        <w:tabs>
          <w:tab w:val="left" w:pos="0" w:leader="none"/>
        </w:tabs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Проектирование и реализация содержания образовательной деятельности должно быть ориентировано на современные образовательные результаты (в т.ч. разработка их типологии, инструментов фиксации и оценки).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Среди специальных компетенций в дополнительных общеобразовательных программах естественнонаучной направленности можно выделить следующие функциональные, системные, инструментальные, универсальные (межличностные и личностные) компетентности и новые грамотности.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Функциональные и системные</w:t>
      </w:r>
      <w:r>
        <w:rPr>
          <w:rFonts w:cs="Times New Roman" w:ascii="Times New Roman" w:hAnsi="Times New Roman"/>
        </w:rPr>
        <w:t>: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Самостоятельный поиск, системный анализ, обобщение и критическое осмысление естественнонаучной и иной информации,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решение проблем, 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экспертиза,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исследование,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развитие оперативной и долгосрочной памяти,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логическое мышление,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системно собирать и анализировать информацию,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ориентация на результат,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учиться (мотивация на образование и самообучение в течение всей своей жизни),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способность к деятельности в междисциплинарных проектах и мероприятиях,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установка на устойчивое долгосрочное развитие и понимание всеобщих взаимосвязей,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рассматривать факты с различных точек зрения,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слушать,</w:t>
      </w:r>
    </w:p>
    <w:p>
      <w:pPr>
        <w:pStyle w:val="ListParagraph"/>
        <w:numPr>
          <w:ilvl w:val="0"/>
          <w:numId w:val="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формулировать вопросы, др.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Инструментальные</w:t>
      </w:r>
      <w:r>
        <w:rPr>
          <w:rFonts w:cs="Times New Roman" w:ascii="Times New Roman" w:hAnsi="Times New Roman"/>
        </w:rPr>
        <w:t xml:space="preserve">: 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Операционные навыки в работе с техническими системами.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Умение использовать специальные технологии, методы, материалы и инструменты в исследовательской деятельности. 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Владение определенным объемом информации о задачах, методах проектно-исследовательской деятельности, компонентов и материалов, технологий.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Способность к продуктивному, результативному осуществлению исследовательских   видов деятельности (наблюдение, измерение, эксперимент).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Понимание причинно-следственных связей событий. Прогнозирование вероятных последствий.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Знание и понимание того, как устроена окружающая среда и как различные обстоятельства на неё влияют, в частности, что воздействует на атмосферу, климат, землю, пищу, энергию, воду и экосистемы.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Знание и понимание того, как социальные факторы воздействуют на природу (рост численности и плотности населения, уровень потребления ресурсов и т.д.)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Изучение и анализ проблем окружающей среды, и умение подбирать для них наиболее эффективные решения.</w:t>
      </w:r>
    </w:p>
    <w:p>
      <w:pPr>
        <w:pStyle w:val="ListParagraph"/>
        <w:numPr>
          <w:ilvl w:val="0"/>
          <w:numId w:val="31"/>
        </w:numPr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принимать меры, направленные на решение проблем окружающей среды, как лично, так и участвуя в общественных инициативах, др.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Межличностные и личностные компетентности</w:t>
      </w:r>
      <w:r>
        <w:rPr>
          <w:rFonts w:cs="Times New Roman" w:ascii="Times New Roman" w:hAnsi="Times New Roman"/>
        </w:rPr>
        <w:t xml:space="preserve">:  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Взаимодействие в разнородных группах.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Ответственность (усердие, старательность, добросовестность, умение выполнять обязательства).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Способность анализировать (оценивать) деятельность другого, формировать и выражать мнение.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Презентация и самопрезентация.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Готовность к принятию опыта другого.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конструктивно воспринимать критику, оценки, мнения.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Открытость новому опыту.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Целеустремленность.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Инициативность.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Уверенность в себе.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Упорство (готовность идти на риск).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выстраивать последовательные алгоритмы деятельности.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Саморефлексия.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Терпение.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Любознательность (вовлеченность, причастность).</w:t>
      </w:r>
    </w:p>
    <w:p>
      <w:pPr>
        <w:pStyle w:val="ListParagraph"/>
        <w:numPr>
          <w:ilvl w:val="0"/>
          <w:numId w:val="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Воображение, др.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Новые грамотности</w:t>
      </w:r>
      <w:r>
        <w:rPr>
          <w:rFonts w:cs="Times New Roman" w:ascii="Times New Roman" w:hAnsi="Times New Roman"/>
        </w:rPr>
        <w:t>: медицинская, естественнонаучная, экологическая, медийная и др.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использовать естественнонаучные знания в жизненных ситуациях;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выявлять вопросы, на которые может ответить естествознание;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выявлять особенности естественнонаучного исследования;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делать выводы на основе полученных данных;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формулировать ответ в понятной для всех форме.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уметь описывать, объяснять и прогнозировать естественнонаучные явления;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уметь интерпретировать научную аргументацию и выводы, с которыми они могут встретиться в средствах массовой информации;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понимать методы научных исследований;</w:t>
      </w:r>
    </w:p>
    <w:p>
      <w:pPr>
        <w:pStyle w:val="ListParagraph"/>
        <w:numPr>
          <w:ilvl w:val="0"/>
          <w:numId w:val="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выявлять вопросы и проблемы, которые могут быть решены с помощью научных методов.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 реализации программ естественнонаучной направленности важным аспектом является привитие общекультурных компетенции, национальной идентичности, как неотъемлемой части гармоничного развития личности.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Cs/>
          <w:i/>
        </w:rPr>
        <w:t>Образовательный результат</w:t>
      </w:r>
      <w:r>
        <w:rPr>
          <w:rFonts w:cs="Times New Roman" w:ascii="Times New Roman" w:hAnsi="Times New Roman"/>
          <w:bCs/>
        </w:rPr>
        <w:t xml:space="preserve"> является неотъемлемой, ключевой, частью любой дополнительной общеразвивающей программы. Проверка и оценка</w:t>
      </w:r>
      <w:r>
        <w:rPr>
          <w:rFonts w:cs="Times New Roman" w:ascii="Times New Roman" w:hAnsi="Times New Roman"/>
        </w:rPr>
        <w:t xml:space="preserve"> знаний, умений и навыков, компетенций обучающихся направлена на выявление и сравнения на том или ином этапе обучения результатов образовательной деятельности с требованиями (задачами и ожидаемыми результатами), задаваемыми образовательными программами.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отслеживания результатов можно применять следующие способы и формы аттестации и контроля: контрольные задания, тестирование, викторины, выставки, соревнования, конкурсы и конференции в течение учебного года; анализ практической деятельности, изготовленных конструкций; анкетирование; анализ общественной деятельности; полезные дела в объединении, социальной среде, демонстрационный экзамен и др.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Оценивание</w:t>
      </w:r>
      <w:r>
        <w:rPr>
          <w:rFonts w:cs="Times New Roman" w:ascii="Times New Roman" w:hAnsi="Times New Roman"/>
        </w:rPr>
        <w:t xml:space="preserve"> поддерживает учебные усилия учащегося и выполняет функцию зеркала, высвечивающего его сильные и слабые стороны, помогает ему ставить учебные цели, а педагогу — уточнять план обучения.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Широкое распространение должен получить инструмент аккумулирования различных результатов оценивания - индивидуальное портфолио, включающее планы, рефлексию учащегося, свидетельства достижений и прогресса, в том числе «бейджи». 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Также поддерживается использование различных форм самооценки и взаимооценки учащихся, в том числе через организацию представления (презентацию) и обсуждения работ (продуктов), в ходе которыху учащихся формируется способность видеть и принимать культурное и индивидуальное разнообразие, уважать мнение других, работать в команде и др. 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дополнительных общеразвивающих программах, особенно на начальных уровнях, в фокусе внимания оказывается «индивидуальный прогресс обучающегося».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tabs>
          <w:tab w:val="left" w:pos="993" w:leader="none"/>
        </w:tabs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Результативность и методологическое обеспечение содержания</w:t>
      </w:r>
      <w:r>
        <w:rPr>
          <w:rFonts w:cs="Times New Roman" w:ascii="Times New Roman" w:hAnsi="Times New Roman"/>
        </w:rPr>
        <w:t xml:space="preserve"> может быть достигнуто через перспективные практики, технологии и методы: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Обучение через исследование</w:t>
      </w:r>
      <w:r>
        <w:rPr>
          <w:rFonts w:cs="Times New Roman" w:ascii="Times New Roman" w:hAnsi="Times New Roman"/>
        </w:rPr>
        <w:t xml:space="preserve"> можно назвать любознательным обучением, его основной принцип — стимулирование и удовлетворение познавательного интереса ученика. Оно обычно организуется как цикл или спираль: формулировка вопроса, изучение ситуации, поиск решения, осмысление и обсуждение результатов. Главной задачей этого подхода является активное вовлечение учащихся. Обучение должно быть сфокусировано на вопросе, который имеет смысл для учеников; плохо структурирован; требует осмысления с различных точек зрения.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Проектное обучение</w:t>
      </w:r>
      <w:r>
        <w:rPr>
          <w:rFonts w:cs="Times New Roman" w:ascii="Times New Roman" w:hAnsi="Times New Roman"/>
        </w:rPr>
        <w:t xml:space="preserve"> помогает разбираться в настоящих сложных вопросах, не имеющих однозначного решения (как в жизни); уметь работать вместе, в команде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Мультисенсорное обучение</w:t>
      </w:r>
      <w:r>
        <w:rPr>
          <w:rFonts w:cs="Times New Roman" w:ascii="Times New Roman" w:hAnsi="Times New Roman"/>
        </w:rPr>
        <w:t>. Мультисенсорная среда, использование разных каналов воздействия на чувства восприятия человека, их комбинация, задействует в процессе образования все виды чувств обучающегося (не только зрение и слух как раньше) позволяют воспринимать учебный материал на другом уровне и запоминать. Такой вид обучения позволят учесть сенсорные предпочтения и индивидуальные особенности учащихся усилить образовательные эффекты.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Кейс-метод</w:t>
      </w:r>
      <w:r>
        <w:rPr>
          <w:rFonts w:cs="Times New Roman" w:ascii="Times New Roman" w:hAnsi="Times New Roman"/>
        </w:rPr>
        <w:t xml:space="preserve"> или метод конкретных ситуаций – неигровой имитационный активный метод обучения, предназначенный для совершенствования навыков и получения опыта в следующих областях: выявление, отбор и решение проблем; работа с информацией — осмысление значения деталей, описанных в ситуации; анализ и синтез информации и аргументов; работа с предположениями и заключениями; оценка альтернатив; принятие решений; слушание и понимание других людей — навыки групповой работы.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Обучение методом открытий</w:t>
      </w:r>
      <w:r>
        <w:rPr>
          <w:rFonts w:cs="Times New Roman" w:ascii="Times New Roman" w:hAnsi="Times New Roman"/>
        </w:rPr>
        <w:t xml:space="preserve"> стимулирует развитие навыков критического мышления и креативности, совместной и самостоятельной работы, решения задач и др. В его основе лежит стремление пробудить интерес и интеллектуальное любопытство учащихся, чтобы применить их интуицию и воображение при решении сложных задач. Главная задача педагога в рамках этого метода состоит в том, чтобы направлять и мотивировать учащихся искать решения, расширяя свои знания и изобретая новое. Педагог должен помогать учащимся объединять имеющиеся у них знания с новыми и связывать знания с реальным миром. Обучение методом открытий сосредоточено не на поиске правильного ответа, а на открытии нового в процессе решения задач. Основная обязанность педагога — создание условий обучения и направление учебного процесса: учащиеся работают самостоятельно или совместно с другими, в собственном темпе.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Методы «гражданской науки» и краудсорсинговых исследований</w:t>
      </w:r>
      <w:r>
        <w:rPr>
          <w:rFonts w:cs="Times New Roman" w:ascii="Times New Roman" w:hAnsi="Times New Roman"/>
        </w:rPr>
        <w:t xml:space="preserve"> предполагает проведение исследований с привлечением широкого круга добровольцев, многие из которых могут быть любителями, то есть не иметь предварительного научного образования и подготовки по специальности. Используя цифровые и сетевые средства, каждый участник проекта выполняет небольшое исследовательское задание и отправляет результат его выполнения в общее хранилище, где накопленные результаты формируют качественно новое знание.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Модульность</w:t>
      </w:r>
      <w:r>
        <w:rPr>
          <w:rFonts w:cs="Times New Roman" w:ascii="Times New Roman" w:hAnsi="Times New Roman"/>
        </w:rPr>
        <w:t xml:space="preserve"> – проектирование программ элементами содержания, каждый из которых является относительно самостоятельной и завершенной информационной единицей, обустроенной соответствующим методическим обеспечением, и имеет свой уровень сложности, позволяющий определять индивидуальный темп продвижения по ее различным вариантам.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Междисциплинарность, интегративность и конвергентность</w:t>
      </w:r>
      <w:r>
        <w:rPr>
          <w:rFonts w:cs="Times New Roman" w:ascii="Times New Roman" w:hAnsi="Times New Roman"/>
        </w:rPr>
        <w:t xml:space="preserve"> – охват дополнительных общеобразовательных программ различных направленностей, включение экологического знания в программы разных областей деятельности, комбинация их, интеграция с общеобразовательными программами разных предметных областей, в т.ч. учет результатов обучения по дополнительным общеобразовательным программам при освоении основных общеобразовательных программ по индивидуальному учебному плану. Много пересечений между предметами: связи между предметами используются педагогом для подведения учеников к целостному восприятию явления или процесса (целое важнее частей).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«Большая идея»</w:t>
      </w:r>
      <w:r>
        <w:rPr>
          <w:rFonts w:cs="Times New Roman" w:ascii="Times New Roman" w:hAnsi="Times New Roman"/>
        </w:rPr>
        <w:t xml:space="preserve"> — это рамка интерпретации явлений и процессов в окружающем мире и в определенной области знания об этом мире, постигаемая на уровне мыслительной стратегии и влияющая на выбор и принятие решений в практической плоскости. Может затрагивать одновременно несколько дисциплин. Примеры больших идей: биология - Живые существа группируются и взаимодействуют, образуя экосистемы, физика – «Различные силы могут оказывать влияние на движение объектов».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«Большие идеи» опираются на «переломные понятия», которые, как правило, не ограничены одной дисциплиной и которые: 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трансформируют восприятие — меняют представление о каком-либо явлении или предмете;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неудобны — их может быть трудно понять, но — когда они поняты — они упрощают дальнейшее обучение;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необратимы — если ученик усвоил это понятие, он уже не может вернуться в состояние, когда он его не понимал; 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интегративны — позволяют выявлять свойства предмета, которые проявляются в различных контекстах (позволяют выявлять закономерности).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Примеры «переломных понятий»: в биологии (и не только) — вероятность и случайность; равновесие; масштаб (временной, пространственный); в математике (и не только) — предел; функция; в физике (и не только) — инерция</w:t>
      </w:r>
      <w:r>
        <w:rPr>
          <w:rStyle w:val="FootnoteCharacters"/>
          <w:rStyle w:val="Style15"/>
          <w:rFonts w:cs="Times New Roman" w:ascii="Times New Roman" w:hAnsi="Times New Roman"/>
        </w:rPr>
        <w:footnoteReference w:id="3"/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Активное самостоятельное учение</w:t>
      </w:r>
      <w:r>
        <w:rPr>
          <w:rFonts w:cs="Times New Roman" w:ascii="Times New Roman" w:hAnsi="Times New Roman"/>
        </w:rPr>
        <w:t xml:space="preserve"> - учебные задачи должны иметь смысл для ученика, предоставлять ему возможность связать их содержание с реальным жизненным опытом. Ученик проявляет инициативу в определении и регулировании своего процесса обучения Ученики могут регулировать, сколько времени каждый из них занимается какой-то темой. Знание живет в голове конкретного человека и связано с его индивидуальным жизненным опытом. Оно создается, уточняется, возникает на стыке «внешнего знания» и собственного опыта.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Работа в малых группах</w:t>
      </w:r>
      <w:r>
        <w:rPr>
          <w:rFonts w:cs="Times New Roman" w:ascii="Times New Roman" w:hAnsi="Times New Roman"/>
        </w:rPr>
        <w:t xml:space="preserve"> способствует развитию критического мышления, умения сотрудничать, креативности и умения учиться. В правильно организованной совместной учебной среде учащиеся более активно используют критическое мышление при постоянной поддержке и обратной связи от других учащихся и учителей. Работа в малых группах стимулирует креативность и, конечно, необходима для развития навыков коммуникации и совместной работы.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</w:rPr>
        <w:t>Обратная связь</w:t>
      </w:r>
      <w:r>
        <w:rPr>
          <w:rFonts w:cs="Times New Roman" w:ascii="Times New Roman" w:hAnsi="Times New Roman"/>
        </w:rPr>
        <w:t xml:space="preserve"> - затрагивает четыре слоя решения задачи: собственно задача (насколько хорошо понятна / выполнена учебная задача), процесс (основной процесс, необходимый для понимания / выполнения задания), саморегуляция (самоконтроль, приоритизация и регулирование действий) и самооценка (личные оценки и реакции).</w:t>
      </w:r>
    </w:p>
    <w:p>
      <w:pPr>
        <w:pStyle w:val="Normal"/>
        <w:tabs>
          <w:tab w:val="left" w:pos="0" w:leader="none"/>
        </w:tabs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Наряду с образовательными результатами и практиками важной «рамкой» для содержания и реализации программ повышенного уровня («базового», «продвинутого») и </w:t>
      </w:r>
      <w:r>
        <w:rPr>
          <w:rFonts w:cs="Times New Roman" w:ascii="Times New Roman" w:hAnsi="Times New Roman"/>
          <w:i/>
          <w:iCs/>
        </w:rPr>
        <w:t>профессиональных проб</w:t>
      </w:r>
      <w:r>
        <w:rPr>
          <w:rFonts w:cs="Times New Roman" w:ascii="Times New Roman" w:hAnsi="Times New Roman"/>
        </w:rPr>
        <w:t xml:space="preserve"> учащихся будет также ориентация </w:t>
      </w:r>
      <w:r>
        <w:rPr>
          <w:rFonts w:cs="Times New Roman" w:ascii="Times New Roman" w:hAnsi="Times New Roman"/>
          <w:i/>
        </w:rPr>
        <w:t>на области профессиональной деятельности</w:t>
      </w:r>
      <w:r>
        <w:rPr>
          <w:rFonts w:cs="Times New Roman" w:ascii="Times New Roman" w:hAnsi="Times New Roman"/>
        </w:rPr>
        <w:t xml:space="preserve">, связанные с настоящей моделью.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</w:rPr>
        <w:t>Профессия ученого</w:t>
      </w:r>
      <w:r>
        <w:rPr>
          <w:rFonts w:cs="Times New Roman" w:ascii="Times New Roman" w:hAnsi="Times New Roman"/>
        </w:rPr>
        <w:t xml:space="preserve"> в зависимости от конкретной специализации может быть как очень востребованной, так и довольно редкой. Наиболее актуальные области знаний сейчас возникают на стыке традиционных естественных, технических, компьютерных, медицинских, общественных и гуманитарных наук. Перспективные профессии и профессии будущего: </w:t>
      </w:r>
      <w:r>
        <w:rPr>
          <w:rFonts w:cs="Times New Roman" w:ascii="Times New Roman" w:hAnsi="Times New Roman"/>
          <w:i/>
          <w:iCs/>
        </w:rPr>
        <w:t>биофизик, аналитик переработки отходов, климатолог, гидрогеолог, агроном-гидропоник, молекулярный биолог, урбанист, врач, генетик, метролог, системный биотехнолог, архитектор живых систем, ИТ-медик, космобиолог, метеоэнергетик, инженер композитных материалов, рециклинг-технолог, агроинформатик.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Проектирование и реализация дополнительных общеразвивающих программ в рамках типовой модели строятся на следующих принципах: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свобода выбора образовательных программ и режима их освоения; 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соответствие образовательных программ и форм дополнительного образования возрастным и индивидуальным особенностям детей; 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вариативность, гибкость и мобильность образовательных программ; 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разноуровневость образовательных программ; 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модульность содержания образовательных программ, возможность взаимозачета результатов; 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ориентация на метапредметные и личностные результаты образования; 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творческий и продуктивный характер образовательных программ; 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– </w:t>
      </w:r>
      <w:r>
        <w:rPr>
          <w:rFonts w:eastAsia="Times New Roman" w:cs="Times New Roman" w:ascii="Times New Roman" w:hAnsi="Times New Roman"/>
          <w:spacing w:val="-2"/>
        </w:rPr>
        <w:t xml:space="preserve">открытый и сетевой характер реализации.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>В соответствии с Концепцией развития дополнительного образования детей</w:t>
      </w:r>
      <w:r>
        <w:rPr>
          <w:rStyle w:val="FootnoteCharacters"/>
          <w:rStyle w:val="Style15"/>
          <w:spacing w:val="-2"/>
        </w:rPr>
        <w:footnoteReference w:id="4"/>
      </w:r>
      <w:r>
        <w:rPr>
          <w:rFonts w:eastAsia="Times New Roman" w:cs="Times New Roman" w:ascii="Times New Roman" w:hAnsi="Times New Roman"/>
          <w:spacing w:val="-2"/>
        </w:rPr>
        <w:t xml:space="preserve"> рекомендуются: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>- разрабатывать модульные, сетевые, интегрированные, разноуровневые программы;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 xml:space="preserve">- классифицировать образовательные программы по уровням сложности содержания образования: стартовый, базовый, продвинутый (углубленный) (Письмо Минобрнауки России от 18.11.2015 № 09-3242 «О направлении информации»). </w:t>
      </w:r>
    </w:p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  <w:t>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>
      <w:pPr>
        <w:pStyle w:val="Normal"/>
        <w:widowControl w:val="false"/>
        <w:shd w:val="clear" w:color="auto" w:fill="FFFFFF"/>
        <w:spacing w:lineRule="auto" w:line="360"/>
        <w:ind w:firstLine="708"/>
        <w:jc w:val="both"/>
        <w:rPr>
          <w:rFonts w:ascii="Times New Roman" w:hAnsi="Times New Roman" w:cs="Times New Roman"/>
          <w:spacing w:val="-2"/>
        </w:rPr>
      </w:pPr>
      <w:r>
        <w:rPr>
          <w:rFonts w:cs="Times New Roman" w:ascii="Times New Roman" w:hAnsi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>
        <w:rPr>
          <w:rFonts w:cs="Times New Roman" w:ascii="Times New Roman" w:hAnsi="Times New Roman"/>
          <w:shd w:fill="FFFFFF" w:val="clear"/>
        </w:rPr>
        <w:t xml:space="preserve">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 </w:t>
      </w:r>
      <w:r>
        <w:rPr>
          <w:rFonts w:cs="Times New Roman" w:ascii="Times New Roman" w:hAnsi="Times New Roman"/>
          <w:spacing w:val="-2"/>
        </w:rPr>
        <w:t xml:space="preserve"> п.9 ст.2 Федерального закона "Об образовании в Российской Федерации" от 29.12.2012 N 273-ФЗ:</w:t>
      </w:r>
    </w:p>
    <w:tbl>
      <w:tblPr>
        <w:tblStyle w:val="ae"/>
        <w:tblW w:w="93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08"/>
        <w:gridCol w:w="3588"/>
        <w:gridCol w:w="5243"/>
      </w:tblGrid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ind w:left="0" w:hanging="0"/>
              <w:rPr>
                <w:rFonts w:ascii="Times New Roman" w:hAnsi="Times New Roman" w:eastAsia="Times New Roman" w:cs="Times New Roman"/>
                <w:b/>
                <w:b/>
                <w:spacing w:val="-2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lang w:eastAsia="en-US"/>
              </w:rPr>
              <w:t>№</w:t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ind w:left="0" w:hanging="0"/>
              <w:jc w:val="center"/>
              <w:rPr>
                <w:rFonts w:ascii="Times New Roman" w:hAnsi="Times New Roman" w:eastAsia="Times New Roman" w:cs="Times New Roman"/>
                <w:b/>
                <w:b/>
                <w:spacing w:val="-2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lang w:eastAsia="en-US"/>
              </w:rPr>
              <w:t xml:space="preserve">Обязательные компоненты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center"/>
              <w:rPr>
                <w:rFonts w:ascii="Times New Roman" w:hAnsi="Times New Roman" w:eastAsia="Times New Roman" w:cs="Times New Roman"/>
                <w:b/>
                <w:b/>
                <w:spacing w:val="-2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lang w:eastAsia="en-US"/>
              </w:rPr>
              <w:t xml:space="preserve">Комментарий 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Объем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Содержание программы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Планируемые результаты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Организационно-педагогические условия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Формы аттестации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Учебный план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ind w:left="0" w:hanging="0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360"/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  <w:t xml:space="preserve">Представлены,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Оценочные материалы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Методические материалы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Перечень учебно-методического обеспечения и дидактических разработок, для достижения планируемых результатов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ind w:left="0" w:hanging="0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 xml:space="preserve">Календарный учебный график 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>
        <w:trPr/>
        <w:tc>
          <w:tcPr>
            <w:tcW w:w="508" w:type="dxa"/>
            <w:tcBorders/>
            <w:shd w:fill="auto" w:val="clear"/>
          </w:tcPr>
          <w:p>
            <w:pPr>
              <w:pStyle w:val="ListParagraph"/>
              <w:widowControl w:val="false"/>
              <w:numPr>
                <w:ilvl w:val="0"/>
                <w:numId w:val="32"/>
              </w:numPr>
              <w:tabs>
                <w:tab w:val="left" w:pos="993" w:leader="none"/>
              </w:tabs>
              <w:spacing w:lineRule="auto" w:line="360" w:before="0" w:after="200"/>
              <w:ind w:left="1080" w:hanging="1000"/>
              <w:contextualSpacing/>
              <w:jc w:val="both"/>
              <w:rPr>
                <w:rFonts w:ascii="Times New Roman" w:hAnsi="Times New Roman" w:eastAsia="Calibri" w:cs="Times New Roman" w:eastAsiaTheme="minorHAnsi"/>
                <w:spacing w:val="-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pacing w:val="-2"/>
                <w:lang w:eastAsia="en-US"/>
              </w:rPr>
            </w:r>
          </w:p>
        </w:tc>
        <w:tc>
          <w:tcPr>
            <w:tcW w:w="3588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Иные компоненты</w:t>
            </w:r>
          </w:p>
        </w:tc>
        <w:tc>
          <w:tcPr>
            <w:tcW w:w="5243" w:type="dxa"/>
            <w:tcBorders/>
            <w:shd w:fill="auto" w:val="clear"/>
          </w:tcPr>
          <w:p>
            <w:pPr>
              <w:pStyle w:val="ListParagraph"/>
              <w:widowControl w:val="false"/>
              <w:tabs>
                <w:tab w:val="left" w:pos="993" w:leader="none"/>
              </w:tabs>
              <w:spacing w:lineRule="auto" w:line="360"/>
              <w:ind w:left="0" w:hanging="0"/>
              <w:jc w:val="both"/>
              <w:rPr>
                <w:rFonts w:ascii="Times New Roman" w:hAnsi="Times New Roman" w:eastAsia="Times New Roman" w:cs="Times New Roman"/>
                <w:spacing w:val="-2"/>
              </w:rPr>
            </w:pPr>
            <w:r>
              <w:rPr>
                <w:rFonts w:eastAsia="Times New Roman" w:cs="Times New Roman" w:ascii="Times New Roman" w:hAnsi="Times New Roman"/>
                <w:spacing w:val="-2"/>
                <w:lang w:eastAsia="en-US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>
      <w:pPr>
        <w:pStyle w:val="ListParagraph"/>
        <w:widowControl w:val="false"/>
        <w:shd w:val="clear" w:color="auto" w:fill="FFFFFF"/>
        <w:tabs>
          <w:tab w:val="left" w:pos="993" w:leader="none"/>
        </w:tabs>
        <w:spacing w:lineRule="auto" w:line="360"/>
        <w:ind w:left="0" w:firstLine="709"/>
        <w:jc w:val="both"/>
        <w:rPr>
          <w:rFonts w:ascii="Times New Roman" w:hAnsi="Times New Roman" w:eastAsia="Times New Roman" w:cs="Times New Roman"/>
          <w:spacing w:val="-2"/>
        </w:rPr>
      </w:pPr>
      <w:r>
        <w:rPr>
          <w:rFonts w:eastAsia="Times New Roman" w:cs="Times New Roman" w:ascii="Times New Roman" w:hAnsi="Times New Roman"/>
          <w:spacing w:val="-2"/>
        </w:rPr>
      </w:r>
    </w:p>
    <w:p>
      <w:pPr>
        <w:pStyle w:val="Normal"/>
        <w:tabs>
          <w:tab w:val="left" w:pos="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Дополнительная общеразвивающая программа разрабатывается и утверждается организацией самостоятельно. Для проектирования и оформления дополнительных общеразвивающих программы могут использоваться методические рекомендации уполномоченных органов и организаций.</w:t>
      </w:r>
    </w:p>
    <w:p>
      <w:pPr>
        <w:pStyle w:val="Normal"/>
        <w:tabs>
          <w:tab w:val="left" w:pos="0" w:leader="none"/>
        </w:tabs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реализации настоящей модели ключевыми участниками могут разрабатываться примерные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детям», конкурсные и методологические материалы Кружкового движения и др.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 xml:space="preserve">Примерная дополнительная общеразвивающая программа «Нелинейный мир» </w:t>
      </w:r>
      <w:r>
        <w:rPr>
          <w:rFonts w:cs="Times New Roman" w:ascii="Times New Roman" w:hAnsi="Times New Roman"/>
        </w:rPr>
        <w:t>представлена в Приложении 5.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iCs/>
        </w:rPr>
      </w:pPr>
      <w:r>
        <w:rPr>
          <w:rFonts w:cs="Times New Roman" w:ascii="Times New Roman" w:hAnsi="Times New Roman"/>
          <w:b/>
          <w:iCs/>
          <w:lang w:val="en-US"/>
        </w:rPr>
        <w:t>III</w:t>
      </w:r>
      <w:r>
        <w:rPr>
          <w:rFonts w:cs="Times New Roman" w:ascii="Times New Roman" w:hAnsi="Times New Roman"/>
          <w:b/>
          <w:iCs/>
        </w:rPr>
        <w:t>.Основные рекомендации к создаваемой инфраструктуре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Представленная типовая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2"/>
        </w:rPr>
      </w:pPr>
      <w:r>
        <w:rPr>
          <w:rFonts w:cs="Times New Roman" w:ascii="Times New Roman" w:hAnsi="Times New Roman"/>
        </w:rPr>
        <w:t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действующего Постановления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детей"(вместе 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естественнонаучной направленности в рамках имеющихся полномочий и компетенций.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Площадь помещения для занятий по программам модуля (модулей) не менее 3,6-4,8 м</w:t>
      </w:r>
      <w:r>
        <w:rPr>
          <w:rFonts w:cs="Times New Roman" w:ascii="Times New Roman" w:hAnsi="Times New Roman"/>
          <w:iCs/>
          <w:vertAlign w:val="superscript"/>
        </w:rPr>
        <w:t xml:space="preserve">2 </w:t>
      </w:r>
      <w:r>
        <w:rPr>
          <w:rFonts w:cs="Times New Roman" w:ascii="Times New Roman" w:hAnsi="Times New Roman"/>
          <w:iCs/>
        </w:rPr>
        <w:t>на учащегося для организации занятий в зависимости от тематики, и 7,2 м</w:t>
      </w:r>
      <w:r>
        <w:rPr>
          <w:rFonts w:cs="Times New Roman" w:ascii="Times New Roman" w:hAnsi="Times New Roman"/>
          <w:iCs/>
          <w:vertAlign w:val="superscript"/>
        </w:rPr>
        <w:t>2</w:t>
      </w:r>
      <w:r>
        <w:rPr>
          <w:rFonts w:cs="Times New Roman" w:ascii="Times New Roman" w:hAnsi="Times New Roman"/>
          <w:iCs/>
        </w:rPr>
        <w:t xml:space="preserve"> на учащегося для лабораторной деятельности (СанПиН 2.4.4.3172-14).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Формируемая инфраструктура должны быть сообразна содержанию, решаемым педагогическим задачам, планируемым результатам, квалификации педагогических кадров.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/>
        </w:rPr>
        <w:t>Решение S («Кружок»)</w:t>
      </w:r>
      <w:r>
        <w:rPr>
          <w:rFonts w:cs="Times New Roman" w:ascii="Times New Roman" w:hAnsi="Times New Roman"/>
          <w:iCs/>
        </w:rPr>
        <w:t xml:space="preserve"> - может быть развернуто на площадях общеобразовательных организаций, организаций СПО или других организаций технической инфраструктуры, а также иной местной инфраструктуры, подходящей для реализации дополнительных общеразвивающих задач - инновационных технологических центров, Кванториумов, технопарков, предприятий, общественных организаций и др. Площадь помещения для занятий по программам модуля (модулей) не менее 4,8 м</w:t>
      </w:r>
      <w:r>
        <w:rPr>
          <w:rFonts w:cs="Times New Roman" w:ascii="Times New Roman" w:hAnsi="Times New Roman"/>
          <w:iCs/>
          <w:vertAlign w:val="superscript"/>
        </w:rPr>
        <w:t>2</w:t>
      </w:r>
      <w:r>
        <w:rPr>
          <w:rFonts w:cs="Times New Roman" w:ascii="Times New Roman" w:hAnsi="Times New Roman"/>
          <w:iCs/>
        </w:rPr>
        <w:t xml:space="preserve"> на обучающегося.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Данное решение целесообразно для создания как элемента сети ведущей образовательной организации. В инфраструктурном листе преобладает универсальное оборудование и мебель. Рекомендуется для всех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/>
        </w:rPr>
        <w:t xml:space="preserve">Решение M </w:t>
      </w:r>
      <w:r>
        <w:rPr>
          <w:rFonts w:cs="Times New Roman" w:ascii="Times New Roman" w:hAnsi="Times New Roman"/>
          <w:iCs/>
        </w:rPr>
        <w:t>(«Мастерская») –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используется, как и аудиторный фонд для программ основного образования в режиме «двойного назначения», так и специализированные выделенные помещения. Рекомендуется как для крупных сельских поселений, так и для малых городов и моногородов.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/>
        </w:rPr>
        <w:t>Решение L («Станция»)</w:t>
      </w:r>
      <w:r>
        <w:rPr>
          <w:rFonts w:cs="Times New Roman" w:ascii="Times New Roman" w:hAnsi="Times New Roman"/>
          <w:iCs/>
        </w:rPr>
        <w:t xml:space="preserve"> –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обеспечение желательное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мотивирующая средой. Характерно для моногородов и крупных городов.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/>
        </w:rPr>
        <w:t>Решение XL («Центр»)</w:t>
      </w:r>
      <w:r>
        <w:rPr>
          <w:rFonts w:cs="Times New Roman" w:ascii="Times New Roman" w:hAnsi="Times New Roman"/>
          <w:iCs/>
        </w:rPr>
        <w:t xml:space="preserve"> – может быть развернуто как самостоятельная организация или как часть другой региональной (муниципальной) организации. Обязательное наличие академического и производственного партнеров для реализации моделей сетевого взаимодействия. Наличие смежной инфраструктуры – лабораторный сектор, пришкольный участок, зала презентации и защиты проектов, мест отдыха и общения (рекреации) и др. Преобладает узкопрофильное, профессиональное оборудование с насыщенной мотивирующей средой. Рекомендуется для территорий с высокой плотностью населения и высокими ресурсными возможностями крупных городов, мегаполисов, а также городов, являющиеся административной или культурной столицей субъекта Российской Федерации.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i/>
        </w:rPr>
        <w:t xml:space="preserve">При формировании Станции предлагается использовать методические рекомендации по созданию Экостанции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  «Образование»,  разработанные федеральным ресурсным центром по развитию дополнительного образования детей естественнонаучной направленности и размещенные по ссылке </w:t>
      </w:r>
      <w:hyperlink r:id="rId3">
        <w:r>
          <w:rPr>
            <w:rStyle w:val="Style16"/>
            <w:rFonts w:cs="Times New Roman" w:ascii="Times New Roman" w:hAnsi="Times New Roman"/>
            <w:i/>
          </w:rPr>
          <w:t>https://ecobiocentre.ru/ecostation/</w:t>
        </w:r>
      </w:hyperlink>
      <w:r>
        <w:rPr>
          <w:rFonts w:cs="Times New Roman" w:ascii="Times New Roman" w:hAnsi="Times New Roman"/>
          <w:i/>
        </w:rPr>
        <w:t xml:space="preserve">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стационарное решение</w:t>
      </w:r>
      <w:r>
        <w:rPr>
          <w:rFonts w:cs="Times New Roman" w:ascii="Times New Roman" w:hAnsi="Times New Roman"/>
        </w:rPr>
        <w:t xml:space="preserve"> – модель разворачивается на обособленных или смежных площадях организации с собственным оборудованием (собственность, пользование, аренда) как в городах (малых и крупных), так и в сельской местности (например, на базе «Дом научной коллаборации», Станций техников, общеобразовательных организаций и др.);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мобильное решение</w:t>
      </w:r>
      <w:r>
        <w:rPr>
          <w:rFonts w:cs="Times New Roman" w:ascii="Times New Roman" w:hAnsi="Times New Roman"/>
        </w:rPr>
        <w:t xml:space="preserve"> –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(пример, мобильный детский технопарк и др.);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дистанционное решение</w:t>
      </w:r>
      <w:r>
        <w:rPr>
          <w:rFonts w:cs="Times New Roman" w:ascii="Times New Roman" w:hAnsi="Times New Roman"/>
        </w:rPr>
        <w:t xml:space="preserve"> –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региона; необходимо наличие у ведущей организации кадровых, образовательных и материально-технических ресурсов высокого качества; </w:t>
      </w:r>
      <w:r>
        <w:rPr>
          <w:rFonts w:cs="Times New Roman" w:ascii="Times New Roman" w:hAnsi="Times New Roman"/>
          <w:i/>
        </w:rPr>
        <w:t>сетевое решение</w:t>
      </w:r>
      <w:r>
        <w:rPr>
          <w:rFonts w:cs="Times New Roman" w:ascii="Times New Roman" w:hAnsi="Times New Roman"/>
        </w:rPr>
        <w:t xml:space="preserve"> – разворачивается в помещениях и с использованием инфраструктуры партнеров - образовательных и не образовательных организаций для реализации дополнительных общеразвивающих программ ведущей образовательной организации или академического партнера (центра молодежного инновационного творчества, колледжа и т.д.).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Расчет затрат на реализацию масштабов и решений типовой модели приведены в приложении 5.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Требования к перечням средств обучения и воспитания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Создание новых мест дополнительного образования детей в рамках настоящей типовой модели разворачивается как на базе существующей инфраструктуры, так и на вновь создаваемой с использованием вновь закупаемых средств обучения и воспитания, а также имеющегося оборудования.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lang w:bidi="ru-RU"/>
        </w:rPr>
        <w:t>Необходимо обеспечить полное и эффективное использование закупаемой материальной технической базы, в том числе ее приоритетное использование для реализации долгосрочных дополнительных общеразвивающих программ в очной форме длительностью не менее 9 месяцев, а также совместной урочной и внеурочной деятельности на основании договоров о реализации образовательных программ в сетевой форме с общеобразовательными организациями, проведении мероприятий (в том числе олимпиад и конкурсов).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(утв. Распоряжением Минпросвещения России от 17.12.2019 г.) с учетом корреляции с: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решаемыми педагогическими задачами естественнонаучной направленности дополнительного образования детей;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 xml:space="preserve">масштабом реализации модели;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возрастными особенностями учащихся;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содержанием, формой и технологиями дополнительных общеразвивающих программ;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необходимой квалификацией кадров;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совместимостью, возможностями интегративного использования оборудования с общим образованием и профессиональным обучением;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особенностями современных цифровых и рекреационных технологий реального сектора региональной экономики.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Формирование средств обучения и воспитания для новых мест рекомендуется осуществлять не отдельными позициями, а комплектами, обеспечивающими определенный цикл, задачу, модуль или другой элемент образовательного процесса соответствующей тематики полностью («под ключ»), что гарантирует доступность и качество реализуемых дополнительных общеразвивающих программ. Сводя к минимуму, таким образом, риски бессистемной закупки отдельных элементов, не работающих в связи с программой и другими элементами инфраструктуры.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Примерные перечни средств обучения и воспитания для программ модели «Диалог наук» в развитие перечней из Методических рекомендаций приведены в приложении 7.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Мебель (учебные столы и стулья) должны быть стандартными, комплектными и иметь маркировку, соответствующую ростовой группе. Не допускается использование стульев с мягкими покрытиями, офисной мебели. Мебель, оборудование, инструменты и инвентарь должны соответствовать росто-возрастным особенностям детей. Технические средства обучения, игрушки и материалы, используемые для творчества, должны быть безопасными для здоровья детей.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Рекомендуемые состав и площади основных помещений для занятий определены СанПиН</w:t>
      </w:r>
      <w:r>
        <w:rPr>
          <w:rStyle w:val="FootnoteCharacters"/>
          <w:rStyle w:val="Style15"/>
          <w:rFonts w:cs="Times New Roman" w:ascii="Times New Roman" w:hAnsi="Times New Roman"/>
        </w:rPr>
        <w:footnoteReference w:id="5"/>
      </w:r>
      <w:r>
        <w:rPr>
          <w:rFonts w:cs="Times New Roman" w:ascii="Times New Roman" w:hAnsi="Times New Roman"/>
        </w:rPr>
        <w:t>. При основных помещениях рекомендуется оборудование подсобного помещения для хранения расходных материалов, оборудования и др.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изучения биологии отдельных видов флоры и фауны, культивирования тест-организмов, постановки экспериментов по биотестированию и для других работ, требующих длительного содержания биологических объектов в экспериментальных условиях необходимо предусмотреть выделение отдельного изолированного помещения, обеспеченного отоплением, водоснабжением и вентиляцией.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Целесообразным представляется использование онлайн-лабораторий, представляющих богатые возможности и возможности для учащихся в условиях доступа к оборудованию и данным из любого места с надежным веб-соединением, а также может обеспечить доступ к наставнику/научному руководителю. Это может быть более экономически эффективным для учащихся, чем поездка в физическую лабораторию или визит мобильной лаборатории.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Онлайн лаборатория - это интерактивная среда для создания и ведения экспериментов. Лаборатория может быть доступна через интернет-интерфейс или как запущенная программа на компьютере в классе или на дому. Цель для учащегося  - испытать процедуры проведения эксперимента, включая последствия совершать ошибки и получать результаты. Несколько онлайн-лабораторий предоставляют реальные данные, такие как в качестве образцов на предварительно подготовленном микроскопе слайды, которые можно проверить на разных увеличения и подсветки. Другие берут в виртуальном полевом путешествии, например, собирать и анализировать геологические образцы.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Интернет-лаборатории также позволяют взаимодействовать с настоящим экспериментальным оборудованием. В этом случае лаборатории обычно называют «удаленными лабораториями». Они обычно имеют интерфейс доступа к оборудованию и онлайн-камере, чтобы дать представление об эксперименте. Преимущества в том, что учащиеся могут получить доступ и взаимодействовать с (иногда дорогим) оборудованием на расстоянии и времени по своему выбору и безопасно исследовать науку по таким темам, как радиация.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Целесообразно комбинировать использование виртуальных лабораторий и практическое с реальным оборудованием, например на базе школьных или университетских лабораторий, мобильных детских технопарков.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Необходимо выделять отдельные помещения для оборудования химической лаборатории с вытяжным шкафом и лабораторными столами (типовой школьный кабинет химии). Этим обеспечивается возможность безопасного и квалифицированного проведения учащимися самостоятельных работ по оценке плодородия, степени загрязнения и биологической активности почв, осуществления гидрохимического анализа качества воды, для оценки биохимических качеств технических, лекарственных и пищевых растений.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 оборудование, являющееся источником выделения пыли, химических веществ, избытков тепла и влаги дополнительно к общей системе вентиляции обеспечивается местной системой вытяжной вентиляции.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 xml:space="preserve">При планировании инфраструктуры предлагается разделить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Универсальное оборудование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оборудования. Например, универсальная мебель, расходные материалы.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 xml:space="preserve">Специальное оборудование – оборудование, специфические средства обучения и воспитания, необходимые для реализации, как правило, программ различных тематик естественнонаучной направленности.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Исходя из принципов соблюдения приоритетов оснащения программ различных профильных тематик естественнонаучной направленности специальным оборудованием, рекомендуется не превышать долю закупок для </w:t>
      </w:r>
      <w:r>
        <w:rPr>
          <w:rFonts w:cs="Times New Roman" w:ascii="Times New Roman" w:hAnsi="Times New Roman"/>
          <w:i/>
          <w:iCs/>
        </w:rPr>
        <w:t>универсального оборудования в 25-30%.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Примерные перечни средств обучения и воспитания для программ типовой модели приведены в приложении 7.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Рекомендации по зонированию и брендированию помещений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Брендирование и зонирование помещений для новых мест дополнительного образования в рамках типовой модели «Диалог наук»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Основные параметры зонирования: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Зонирование осуществляется с учетом специфики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</w:rPr>
        <w:t>Кластерный подход</w:t>
      </w:r>
      <w:r>
        <w:rPr>
          <w:rFonts w:cs="Times New Roman" w:ascii="Times New Roman" w:hAnsi="Times New Roman"/>
        </w:rPr>
        <w:t xml:space="preserve"> - объединение нескольких помещений и инфраструктурных единиц, обеспечивающих достаточно автономное и целостное функционирование для реализации задач модели.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«Диалог наук» должно выполняться с использованием утвержденного фирменного стиля.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Рекомендации к брендированию и зонированию содержатся в Приложении 8.</w:t>
      </w:r>
    </w:p>
    <w:p>
      <w:pPr>
        <w:pStyle w:val="Normal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  <w:lang w:val="en-US"/>
        </w:rPr>
        <w:t>IV</w:t>
      </w:r>
      <w:r>
        <w:rPr>
          <w:rFonts w:cs="Times New Roman" w:ascii="Times New Roman" w:hAnsi="Times New Roman"/>
          <w:b/>
          <w:bCs/>
          <w:i/>
          <w:iCs/>
        </w:rPr>
        <w:t>.Основные рекомендации к кадровому обеспечению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</w:rPr>
        <w:t>Особенности запроса к к</w:t>
      </w:r>
      <w:r>
        <w:rPr>
          <w:rFonts w:cs="Times New Roman" w:ascii="Times New Roman" w:hAnsi="Times New Roman"/>
          <w:bCs/>
        </w:rPr>
        <w:t>адровому обеспечению</w:t>
      </w:r>
      <w:r>
        <w:rPr>
          <w:rFonts w:cs="Times New Roman" w:ascii="Times New Roman" w:hAnsi="Times New Roman"/>
        </w:rPr>
        <w:t xml:space="preserve"> дополнительных общеразвивающих </w:t>
      </w:r>
      <w:r>
        <w:rPr>
          <w:rFonts w:cs="Times New Roman" w:ascii="Times New Roman" w:hAnsi="Times New Roman"/>
          <w:bCs/>
        </w:rPr>
        <w:t>программ естественнонаучной направленности определяются следующими обстоятельствами: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непрерывный характер образования в области формирования естественнонаучной грамотности;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необходимость массового охвата дополнительного естественнонаучной направленности (не менее 40% в сумме с технической направленностью);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высокая динамка обновления научных знаний;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современные средства обучения и развивающиеся технологии.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Это, с одной стороны, определяет высокий уровень потребности в кадровом обеспечении программ естественнонаучной направленности, с другой стороны, предъявляет достаточно высокие требования к опыту и квалификации педагогов.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Определение штатной численности и формирование штатного расписания для обеспечения функционирования Типовой модели осуществляется 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Должности, введенные в штатное расписание организации, как по категориям должностей, так и по количеству штатных единиц, должны обеспечивать реализацию модели в соответствии с задачами дополнительного образования.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реализации модели могут быть использованы следующие штатные единицы с примерным распределением задач и функциональных обязанностей:</w:t>
      </w:r>
    </w:p>
    <w:tbl>
      <w:tblPr>
        <w:tblStyle w:val="ae"/>
        <w:tblW w:w="933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55"/>
        <w:gridCol w:w="2019"/>
        <w:gridCol w:w="5453"/>
        <w:gridCol w:w="1410"/>
      </w:tblGrid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№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lang w:eastAsia="en-US"/>
              </w:rPr>
              <w:t>Наименование должности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lang w:eastAsia="en-US"/>
              </w:rPr>
              <w:t>Примерный ключевой функционал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lang w:eastAsia="en-US"/>
              </w:rPr>
              <w:t xml:space="preserve"> </w:t>
            </w:r>
            <w:r>
              <w:rPr>
                <w:rFonts w:eastAsia="Calibri" w:cs="Times New Roman" w:eastAsiaTheme="minorHAnsi" w:ascii="Times New Roman" w:hAnsi="Times New Roman"/>
                <w:b/>
                <w:lang w:eastAsia="en-US"/>
              </w:rPr>
              <w:t>(трудовые функции)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lang w:eastAsia="en-US"/>
              </w:rPr>
              <w:t xml:space="preserve">Вид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lang w:eastAsia="en-US"/>
              </w:rPr>
              <w:t>решения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1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Педагог дополнительного образования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Педагогический контроль и оценка освоения дополнительной общеобразовательной программы.</w:t>
            </w:r>
          </w:p>
          <w:p>
            <w:pPr>
              <w:pStyle w:val="Normal"/>
              <w:rPr>
                <w:rFonts w:ascii="Times New Roman" w:hAnsi="Times New Roman" w:cs="Times New Roman"/>
                <w:strike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S, M, L, 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2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Старший педагог дополнительного образования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Дополнительно к функционалу ПДО: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 xml:space="preserve"> </w:t>
            </w: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 xml:space="preserve">развивающей образовательной среды. </w:t>
            </w:r>
          </w:p>
          <w:p>
            <w:pPr>
              <w:pStyle w:val="Normal"/>
              <w:rPr>
                <w:rFonts w:ascii="Times New Roman" w:hAnsi="Times New Roman" w:cs="Times New Roman"/>
                <w:strike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Оказывает методическую помощь педагогам дополнительного образования, способствует 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L, 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3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Методист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>
            <w:pPr>
              <w:pStyle w:val="ConsPlusNormal"/>
              <w:rPr/>
            </w:pPr>
            <w:r>
              <w:rPr/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M, L, 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4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Старший методист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L, 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5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Педагог-организатор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Организация и проведение массовых досуговых мероприятий</w:t>
            </w: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trike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M, L, 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6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Лаборант, инженер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7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Специалист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L, 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8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Заместитель руководителя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Организация и планирование образовательной деятельности.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 xml:space="preserve">Участие в подборе и расстановке педагогических и иных кадров, организации повышения их квалификации и профессионального мастерства.  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trike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Контроль качества образовательного процесса.</w:t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L, XL</w:t>
            </w:r>
          </w:p>
        </w:tc>
      </w:tr>
      <w:tr>
        <w:trPr/>
        <w:tc>
          <w:tcPr>
            <w:tcW w:w="455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9</w:t>
            </w:r>
          </w:p>
        </w:tc>
        <w:tc>
          <w:tcPr>
            <w:tcW w:w="2019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Руководитель</w:t>
            </w:r>
          </w:p>
        </w:tc>
        <w:tc>
          <w:tcPr>
            <w:tcW w:w="5453" w:type="dxa"/>
            <w:tcBorders/>
            <w:shd w:fill="auto" w:val="clear"/>
          </w:tcPr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Руководство развитием образовательной организации.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Управление ресурсами образовательной организации.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eastAsia="en-US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>
            <w:pPr>
              <w:pStyle w:val="Normal"/>
              <w:jc w:val="both"/>
              <w:rPr>
                <w:rFonts w:ascii="Times New Roman" w:hAnsi="Times New Roman" w:eastAsia="Calibri" w:cs="Times New Roman" w:eastAsiaTheme="minorHAnsi"/>
                <w:strike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trike/>
                <w:lang w:eastAsia="en-US"/>
              </w:rPr>
            </w:r>
          </w:p>
        </w:tc>
        <w:tc>
          <w:tcPr>
            <w:tcW w:w="141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eastAsiaTheme="minorHAnsi" w:ascii="Times New Roman" w:hAnsi="Times New Roman"/>
                <w:lang w:val="en-US" w:eastAsia="en-US"/>
              </w:rPr>
              <w:t>M, L, XL</w:t>
            </w:r>
          </w:p>
        </w:tc>
      </w:tr>
    </w:tbl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решений </w:t>
      </w:r>
      <w:r>
        <w:rPr>
          <w:rFonts w:cs="Times New Roman" w:ascii="Times New Roman" w:hAnsi="Times New Roman"/>
          <w:lang w:val="en-US"/>
        </w:rPr>
        <w:t>S</w:t>
      </w:r>
      <w:r>
        <w:rPr>
          <w:rFonts w:cs="Times New Roman" w:ascii="Times New Roman" w:hAnsi="Times New Roman"/>
        </w:rPr>
        <w:t xml:space="preserve"> и </w:t>
      </w:r>
      <w:r>
        <w:rPr>
          <w:rFonts w:cs="Times New Roman" w:ascii="Times New Roman" w:hAnsi="Times New Roman"/>
          <w:lang w:val="en-US"/>
        </w:rPr>
        <w:t>M</w:t>
      </w:r>
      <w:r>
        <w:rPr>
          <w:rFonts w:cs="Times New Roman" w:ascii="Times New Roman" w:hAnsi="Times New Roman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>
        <w:rPr>
          <w:rFonts w:cs="Times New Roman" w:ascii="Times New Roman" w:hAnsi="Times New Roman"/>
          <w:lang w:val="en-US"/>
        </w:rPr>
        <w:t>L</w:t>
      </w:r>
      <w:r>
        <w:rPr>
          <w:rFonts w:cs="Times New Roman" w:ascii="Times New Roman" w:hAnsi="Times New Roman"/>
        </w:rPr>
        <w:t xml:space="preserve"> и </w:t>
      </w:r>
      <w:r>
        <w:rPr>
          <w:rFonts w:cs="Times New Roman" w:ascii="Times New Roman" w:hAnsi="Times New Roman"/>
          <w:lang w:val="en-US"/>
        </w:rPr>
        <w:t>XL</w:t>
      </w:r>
      <w:r>
        <w:rPr>
          <w:rFonts w:cs="Times New Roman" w:ascii="Times New Roman" w:hAnsi="Times New Roman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Работы по настройке, ремонту, обслуживанию оборудования может осуществляться на аутсорсинге сторонней организацией. Для решения </w:t>
      </w:r>
      <w:r>
        <w:rPr>
          <w:rFonts w:cs="Times New Roman" w:ascii="Times New Roman" w:hAnsi="Times New Roman"/>
          <w:lang w:val="en-US"/>
        </w:rPr>
        <w:t>XL</w:t>
      </w:r>
      <w:r>
        <w:rPr>
          <w:rFonts w:cs="Times New Roman" w:ascii="Times New Roman" w:hAnsi="Times New Roman"/>
        </w:rPr>
        <w:t xml:space="preserve"> такие специалисты представляются необходимыми в штатном расписании.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Формирование и утверждение штатного расписания и организационной 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объемом государственного (муниципального) задания, объема приносящей доход деятельности.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Образовательная деятельность по реализации дополнительных общеразвивающих программ в типовой модели «Диалог наук» осуществляется лицами (для педагога дополнительного образования, методиста, педагог-организатора), имеющими среднее профессиональное или высшее образование</w:t>
      </w:r>
      <w:r>
        <w:rPr>
          <w:rStyle w:val="FootnoteCharacters"/>
          <w:rStyle w:val="Style15"/>
          <w:rFonts w:cs="Times New Roman" w:ascii="Times New Roman" w:hAnsi="Times New Roman"/>
        </w:rPr>
        <w:footnoteReference w:id="6"/>
      </w:r>
      <w:r>
        <w:rPr>
          <w:rFonts w:cs="Times New Roman" w:ascii="Times New Roman" w:hAnsi="Times New Roman"/>
        </w:rPr>
        <w:t>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по профилю, соответствующему реализуемой дополнительной общеразвивающей программы;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>
        <w:rPr>
          <w:rStyle w:val="FootnoteCharacters"/>
          <w:rStyle w:val="Style15"/>
          <w:rFonts w:cs="Times New Roman" w:ascii="Times New Roman" w:hAnsi="Times New Roman"/>
        </w:rPr>
        <w:footnoteReference w:id="7"/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 устанавливается продолжительность рабочего времени 36 часов в неделю.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творческих и иных мероприятий, проводимых с обучающимися.</w:t>
      </w:r>
      <w:r>
        <w:rPr>
          <w:rStyle w:val="FootnoteCharacters"/>
          <w:rStyle w:val="Style15"/>
          <w:rFonts w:cs="Times New Roman" w:ascii="Times New Roman" w:hAnsi="Times New Roman"/>
        </w:rPr>
        <w:footnoteReference w:id="8"/>
      </w: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Решение </w:t>
      </w:r>
      <w:r>
        <w:rPr>
          <w:rFonts w:cs="Times New Roman" w:ascii="Times New Roman" w:hAnsi="Times New Roman"/>
          <w:lang w:val="en-US"/>
        </w:rPr>
        <w:t>S</w:t>
      </w:r>
      <w:r>
        <w:rPr>
          <w:rFonts w:cs="Times New Roman" w:ascii="Times New Roman" w:hAnsi="Times New Roman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Решение </w:t>
      </w:r>
      <w:r>
        <w:rPr>
          <w:rFonts w:cs="Times New Roman" w:ascii="Times New Roman" w:hAnsi="Times New Roman"/>
          <w:lang w:val="en-US"/>
        </w:rPr>
        <w:t>M</w:t>
      </w:r>
      <w:r>
        <w:rPr>
          <w:rFonts w:cs="Times New Roman" w:ascii="Times New Roman" w:hAnsi="Times New Roman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Решение </w:t>
      </w:r>
      <w:r>
        <w:rPr>
          <w:rFonts w:cs="Times New Roman" w:ascii="Times New Roman" w:hAnsi="Times New Roman"/>
          <w:lang w:val="en-US"/>
        </w:rPr>
        <w:t>L</w:t>
      </w:r>
      <w:r>
        <w:rPr>
          <w:rFonts w:cs="Times New Roman" w:ascii="Times New Roman" w:hAnsi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Решение </w:t>
      </w:r>
      <w:r>
        <w:rPr>
          <w:rFonts w:cs="Times New Roman" w:ascii="Times New Roman" w:hAnsi="Times New Roman"/>
          <w:lang w:val="en-US"/>
        </w:rPr>
        <w:t>XL</w:t>
      </w:r>
      <w:r>
        <w:rPr>
          <w:rFonts w:cs="Times New Roman" w:ascii="Times New Roman" w:hAnsi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Источники кадров типовой модели «Диалог наук»: для реализации программ рекомендуется привлекать студентов естественнонаучных профилей высших учебных заведений, выпускников организаций среднего профессионального образования по данным специальностям, а также членов научных обществ, сотрудником предприятий, преподавателей ВУЗов.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Расчет штата основного персонала (персонала учебной части) производится в соответствии с количеством образовательных направлений и количеством групп обучающихся по каждому направлению (модулю).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 xml:space="preserve">Для педагогических работников решений </w:t>
      </w:r>
      <w:r>
        <w:rPr>
          <w:rFonts w:cs="Times New Roman" w:ascii="Times New Roman" w:hAnsi="Times New Roman"/>
          <w:iCs/>
          <w:lang w:val="en-US"/>
        </w:rPr>
        <w:t>L</w:t>
      </w:r>
      <w:r>
        <w:rPr>
          <w:rFonts w:cs="Times New Roman" w:ascii="Times New Roman" w:hAnsi="Times New Roman"/>
          <w:iCs/>
        </w:rPr>
        <w:t xml:space="preserve"> и </w:t>
      </w:r>
      <w:r>
        <w:rPr>
          <w:rFonts w:cs="Times New Roman" w:ascii="Times New Roman" w:hAnsi="Times New Roman"/>
          <w:iCs/>
          <w:lang w:val="en-US"/>
        </w:rPr>
        <w:t>XL</w:t>
      </w:r>
      <w:r>
        <w:rPr>
          <w:rFonts w:cs="Times New Roman" w:ascii="Times New Roman" w:hAnsi="Times New Roman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 сопровождения основной деятельности.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Профессиональное развитие кадров типовой модели «Диалог наук» осуществляют профильный Федеральный ресурсный центр, региональный модельный центр дополнительного образования детей, муниципальные опорные центры дополнительного образования детей, академические партнеры.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bCs/>
          <w:lang w:eastAsia="zh-CN"/>
        </w:rPr>
      </w:pPr>
      <w:r>
        <w:rPr>
          <w:rFonts w:eastAsia="Times New Roman" w:cs="Times New Roman" w:ascii="Times New Roman" w:hAnsi="Times New Roman"/>
          <w:bCs/>
          <w:lang w:eastAsia="zh-CN"/>
        </w:rPr>
        <w:t>Описание категорий участников мероприятий по внедрению и функционированию типовой модели «</w:t>
      </w:r>
      <w:r>
        <w:rPr>
          <w:rFonts w:cs="Times New Roman" w:ascii="Times New Roman" w:hAnsi="Times New Roman"/>
        </w:rPr>
        <w:t>Диалог наук</w:t>
      </w:r>
      <w:r>
        <w:rPr>
          <w:rFonts w:eastAsia="Times New Roman" w:cs="Times New Roman" w:ascii="Times New Roman" w:hAnsi="Times New Roman"/>
          <w:bCs/>
          <w:lang w:eastAsia="zh-CN"/>
        </w:rPr>
        <w:t>», а также схема взаимодействия участников мероприятий по внедрению и функционированию типовой модели «</w:t>
      </w:r>
      <w:r>
        <w:rPr>
          <w:rFonts w:cs="Times New Roman" w:ascii="Times New Roman" w:hAnsi="Times New Roman"/>
        </w:rPr>
        <w:t>Диалог наук</w:t>
      </w:r>
      <w:r>
        <w:rPr>
          <w:rFonts w:eastAsia="Times New Roman" w:cs="Times New Roman" w:ascii="Times New Roman" w:hAnsi="Times New Roman"/>
          <w:bCs/>
          <w:lang w:eastAsia="zh-CN"/>
        </w:rPr>
        <w:t>»: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eastAsia="Times New Roman" w:cs="Times New Roman"/>
          <w:b/>
          <w:b/>
          <w:bCs/>
          <w:lang w:eastAsia="zh-CN"/>
        </w:rPr>
      </w:pPr>
      <w:r>
        <w:rPr>
          <w:rFonts w:eastAsia="Times New Roman" w:cs="Times New Roman" w:ascii="Times New Roman" w:hAnsi="Times New Roman"/>
          <w:b/>
          <w:bCs/>
          <w:lang w:eastAsia="zh-CN"/>
        </w:rPr>
      </w:r>
    </w:p>
    <w:tbl>
      <w:tblPr>
        <w:tblStyle w:val="ae"/>
        <w:tblW w:w="934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83"/>
        <w:gridCol w:w="4017"/>
        <w:gridCol w:w="4840"/>
      </w:tblGrid>
      <w:tr>
        <w:trPr/>
        <w:tc>
          <w:tcPr>
            <w:tcW w:w="48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№</w:t>
            </w:r>
          </w:p>
        </w:tc>
        <w:tc>
          <w:tcPr>
            <w:tcW w:w="4017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eastAsia="Times New Roman" w:cs="Times New Roman" w:asciiTheme="majorBidi" w:cstheme="majorBidi" w:hAnsiTheme="majorBidi"/>
                <w:b/>
                <w:b/>
                <w:bCs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484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eastAsia="Times New Roman" w:cs="Times New Roman" w:asciiTheme="majorBidi" w:cstheme="majorBidi" w:hAnsiTheme="majorBidi"/>
                <w:b/>
                <w:b/>
                <w:bCs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b/>
                <w:bCs/>
                <w:lang w:eastAsia="zh-CN"/>
              </w:rPr>
              <w:t>Функции</w:t>
            </w:r>
          </w:p>
        </w:tc>
      </w:tr>
      <w:tr>
        <w:trPr/>
        <w:tc>
          <w:tcPr>
            <w:tcW w:w="48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1</w:t>
            </w:r>
          </w:p>
        </w:tc>
        <w:tc>
          <w:tcPr>
            <w:tcW w:w="401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i/>
                <w:i/>
                <w:iCs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i/>
                <w:iCs/>
                <w:lang w:eastAsia="zh-CN"/>
              </w:rPr>
              <w:t>Организаторы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484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Инвентаризация ресурсов и самообследование, реализация деятельности по созданию новых мест</w:t>
            </w:r>
          </w:p>
        </w:tc>
      </w:tr>
      <w:tr>
        <w:trPr/>
        <w:tc>
          <w:tcPr>
            <w:tcW w:w="48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2</w:t>
            </w:r>
          </w:p>
        </w:tc>
        <w:tc>
          <w:tcPr>
            <w:tcW w:w="401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i/>
                <w:i/>
                <w:iCs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i/>
                <w:iCs/>
              </w:rPr>
              <w:t>Кураторы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Федеральный оператор,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Федеральный ресурсный центр,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Региональный координатор/региональный модельный центр,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Муниципальные опорные центры</w:t>
            </w:r>
          </w:p>
        </w:tc>
        <w:tc>
          <w:tcPr>
            <w:tcW w:w="484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>
        <w:trPr/>
        <w:tc>
          <w:tcPr>
            <w:tcW w:w="48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3</w:t>
            </w:r>
          </w:p>
        </w:tc>
        <w:tc>
          <w:tcPr>
            <w:tcW w:w="401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i/>
                <w:iCs/>
              </w:rPr>
              <w:t>Академические партнеры</w:t>
            </w: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 xml:space="preserve"> Образовательные и научные организации, ученые</w:t>
            </w:r>
          </w:p>
        </w:tc>
        <w:tc>
          <w:tcPr>
            <w:tcW w:w="484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Интеллектуальная поддержка программ и проектов в формирования актуального содержания и технологий дополнительных общеразвивающих программ естественнонаучного профиля. Реализация совместных образовательных программ и проектов.</w:t>
            </w:r>
          </w:p>
        </w:tc>
      </w:tr>
      <w:tr>
        <w:trPr/>
        <w:tc>
          <w:tcPr>
            <w:tcW w:w="48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4</w:t>
            </w:r>
          </w:p>
        </w:tc>
        <w:tc>
          <w:tcPr>
            <w:tcW w:w="401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i/>
                <w:iCs/>
                <w:lang w:eastAsia="en-US"/>
              </w:rPr>
              <w:t>Технологические партнеры</w:t>
            </w: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en-US"/>
              </w:rPr>
              <w:t xml:space="preserve"> Организации реального сектора экономики</w:t>
            </w:r>
          </w:p>
        </w:tc>
        <w:tc>
          <w:tcPr>
            <w:tcW w:w="484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Технологическая поддержка программ и проектов в работе с современными технологиями и наставниками. Проведение совместных профориентационных мероприятий и образовательных программ.</w:t>
            </w:r>
          </w:p>
        </w:tc>
      </w:tr>
      <w:tr>
        <w:trPr/>
        <w:tc>
          <w:tcPr>
            <w:tcW w:w="48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5</w:t>
            </w:r>
          </w:p>
        </w:tc>
        <w:tc>
          <w:tcPr>
            <w:tcW w:w="401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i/>
                <w:i/>
                <w:iCs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i/>
                <w:iCs/>
                <w:lang w:eastAsia="zh-CN"/>
              </w:rPr>
              <w:t>Общественно-деловые объединения*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Ассоциации исследователей, школьные научные сообщества и т.д.</w:t>
            </w:r>
          </w:p>
        </w:tc>
        <w:tc>
          <w:tcPr>
            <w:tcW w:w="484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>
        <w:trPr/>
        <w:tc>
          <w:tcPr>
            <w:tcW w:w="48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6</w:t>
            </w:r>
          </w:p>
        </w:tc>
        <w:tc>
          <w:tcPr>
            <w:tcW w:w="401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i/>
                <w:i/>
                <w:iCs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484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Times New Roman" w:cs="Times New Roman" w:asciiTheme="majorBidi" w:cstheme="majorBidi" w:hAnsiTheme="majorBidi"/>
                <w:lang w:eastAsia="zh-CN"/>
              </w:rPr>
            </w:pPr>
            <w:r>
              <w:rPr>
                <w:rFonts w:eastAsia="Times New Roman" w:cs="Times New Roman" w:ascii="Times New Roman" w:hAnsi="Times New Roman" w:asciiTheme="majorBidi" w:cstheme="majorBidi" w:hAnsi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>
      <w:pPr>
        <w:pStyle w:val="Normal"/>
        <w:ind w:firstLine="708"/>
        <w:rPr>
          <w:rFonts w:ascii="Times New Roman" w:hAnsi="Times New Roman" w:eastAsia="Times New Roman" w:cs="Times New Roman" w:asciiTheme="majorBidi" w:cstheme="majorBidi" w:hAnsiTheme="majorBidi"/>
          <w:sz w:val="28"/>
          <w:szCs w:val="28"/>
          <w:lang w:eastAsia="zh-CN"/>
        </w:rPr>
      </w:pPr>
      <w:r>
        <w:rPr>
          <w:rFonts w:eastAsia="Times New Roman" w:cs="Times New Roman" w:cstheme="majorBidi" w:ascii="Times New Roman" w:hAnsi="Times New Roman"/>
          <w:sz w:val="28"/>
          <w:szCs w:val="28"/>
          <w:lang w:eastAsia="zh-CN"/>
        </w:rPr>
      </w:r>
    </w:p>
    <w:p>
      <w:pPr>
        <w:pStyle w:val="Normal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*Привлечение общественно-деловых объединений и участие представителя реального сектора экономики осуществляется в  соответствии с Распоряжением Минпросвещения России от 27.12.2019 N Р-154 "Об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программ".</w:t>
      </w:r>
    </w:p>
    <w:p>
      <w:pPr>
        <w:pStyle w:val="Normal"/>
        <w:ind w:firstLine="709"/>
        <w:jc w:val="center"/>
        <w:rPr>
          <w:rFonts w:ascii="Times New Roman" w:hAnsi="Times New Roman" w:eastAsia="Times New Roman" w:cs="Times New Roman" w:asciiTheme="majorBidi" w:cstheme="majorBidi" w:hAnsiTheme="majorBidi"/>
          <w:b/>
          <w:b/>
          <w:bCs/>
          <w:lang w:eastAsia="zh-CN"/>
        </w:rPr>
      </w:pPr>
      <w:r>
        <w:rPr>
          <w:rFonts w:eastAsia="Times New Roman" w:cs="Times New Roman" w:cstheme="majorBidi" w:ascii="Times New Roman" w:hAnsi="Times New Roman"/>
          <w:b/>
          <w:bCs/>
          <w:lang w:eastAsia="zh-CN"/>
        </w:rPr>
      </w:r>
    </w:p>
    <w:p>
      <w:pPr>
        <w:pStyle w:val="Normal"/>
        <w:ind w:firstLine="709"/>
        <w:jc w:val="center"/>
        <w:rPr>
          <w:rFonts w:ascii="Times New Roman" w:hAnsi="Times New Roman" w:cs="Times New Roman" w:asciiTheme="majorBidi" w:cstheme="majorBidi" w:hAnsiTheme="majorBidi"/>
          <w:sz w:val="28"/>
          <w:szCs w:val="28"/>
        </w:rPr>
      </w:pPr>
      <w:r>
        <w:rPr>
          <w:rFonts w:eastAsia="Times New Roman" w:cs="Times New Roman" w:ascii="Times New Roman" w:hAnsi="Times New Roman" w:asciiTheme="majorBidi" w:cstheme="majorBidi" w:hAnsiTheme="majorBidi"/>
          <w:b/>
          <w:bCs/>
          <w:lang w:eastAsia="zh-CN"/>
        </w:rPr>
        <w:t>Схема взаимодействия участников мероприятий по внедрению и функционированию типовой модели «Диалог наук»</w:t>
      </w:r>
    </w:p>
    <w:p>
      <w:pPr>
        <w:pStyle w:val="Normal"/>
        <w:jc w:val="both"/>
        <w:rPr>
          <w:rFonts w:ascii="Times New Roman" w:hAnsi="Times New Roman" w:cs="Times New Roman" w:asciiTheme="majorBidi" w:cstheme="majorBidi" w:hAnsiTheme="majorBidi"/>
          <w:sz w:val="28"/>
          <w:szCs w:val="28"/>
        </w:rPr>
      </w:pPr>
      <w:r>
        <w:rPr>
          <w:rFonts w:cs="Times New Roman" w:cstheme="majorBidi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 w:asciiTheme="majorBidi" w:cstheme="majorBidi" w:hAnsiTheme="majorBidi"/>
          <w:sz w:val="28"/>
          <w:szCs w:val="28"/>
        </w:rPr>
      </w:pPr>
      <w:r>
        <w:rPr/>
        <w:drawing>
          <wp:inline distT="0" distB="0" distL="0" distR="5080">
            <wp:extent cx="4782820" cy="2971800"/>
            <wp:effectExtent l="0" t="0" r="0" b="0"/>
            <wp:docPr id="2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</w:rPr>
        <w:t>Рисунок 1 -</w:t>
      </w:r>
      <w:r>
        <w:rPr>
          <w:rFonts w:eastAsia="Times New Roman" w:cs="Times New Roman" w:ascii="Times New Roman" w:hAnsi="Times New Roman" w:asciiTheme="majorBidi" w:cstheme="majorBidi" w:hAnsiTheme="majorBidi"/>
          <w:bCs/>
          <w:lang w:eastAsia="zh-CN"/>
        </w:rPr>
        <w:t xml:space="preserve"> Схема взаимодействия участников мероприятий по внедрению и функционированию типовой модели «Диалог наук»</w:t>
      </w:r>
    </w:p>
    <w:p>
      <w:pPr>
        <w:sectPr>
          <w:footerReference w:type="default" r:id="rId5"/>
          <w:footnotePr>
            <w:numFmt w:val="decimal"/>
          </w:footnotePr>
          <w:type w:val="nextPage"/>
          <w:pgSz w:w="11906" w:h="16838"/>
          <w:pgMar w:left="1701" w:right="850" w:header="0" w:top="1134" w:footer="708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</w:r>
    </w:p>
    <w:p>
      <w:pPr>
        <w:pStyle w:val="ConsPlusNormal"/>
        <w:spacing w:lineRule="auto" w:line="360"/>
        <w:jc w:val="right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cstheme="majorBidi"/>
          <w:b/>
        </w:rPr>
        <w:t>Приложение 1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 xml:space="preserve">Примерная «дорожная карта» реализации типовой модели «Диалог наук»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>на 2020-2025 гг.</w:t>
      </w:r>
    </w:p>
    <w:tbl>
      <w:tblPr>
        <w:tblStyle w:val="ae"/>
        <w:tblW w:w="934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1"/>
        <w:gridCol w:w="4153"/>
        <w:gridCol w:w="3205"/>
        <w:gridCol w:w="1430"/>
      </w:tblGrid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№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Мероприятие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Ответственный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Сроки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Февраль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2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Региональный координатор/оператор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Март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3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Выбор и утверждение организаций для реализации модели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Апрель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4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В течение всего года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5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Закупка, наладка и настройка оборудования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Март-август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6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Старт приемной кампании по набору детей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на базе которых создаются новые места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Май, ежегодно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7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Поиск и привлечение партнеров, заключение договоров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Май, ежегодно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8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Разработка дизайн-проекта и зонирования помещений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муниципальные опорные центры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Май-июнь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9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Май- август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10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Август, ежегодно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11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Организационное оформление деятельности  (локальные акты, штатное расписание, планы, трудовые договора и т.д.)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на базе которых создаются новые места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 25 августа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12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Август-сентябрь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13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Создающие новые места организации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Сентябрь, в течение всего года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14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Организационно-методическое сопровождение реализации модели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В течение всего года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15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Апрель-июнь,</w:t>
            </w:r>
          </w:p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Ежегодно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16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Региональный координатор, учредитель, организации, партнеры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Ежегодно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17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Проведение самообследования и корректировка планирования деятельности организации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 муниципальные опорные центры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Ежегодно, март-апрель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18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Апрель-май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19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Организации, производители</w:t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ind w:left="11" w:hanging="0"/>
              <w:jc w:val="center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Ежегодно по отдельному графику</w:t>
            </w:r>
          </w:p>
        </w:tc>
      </w:tr>
      <w:tr>
        <w:trPr/>
        <w:tc>
          <w:tcPr>
            <w:tcW w:w="551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20</w:t>
            </w:r>
          </w:p>
        </w:tc>
        <w:tc>
          <w:tcPr>
            <w:tcW w:w="415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…</w:t>
            </w:r>
          </w:p>
        </w:tc>
        <w:tc>
          <w:tcPr>
            <w:tcW w:w="3205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bCs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bCs/>
                <w:lang w:eastAsia="en-US"/>
              </w:rPr>
            </w:r>
          </w:p>
        </w:tc>
        <w:tc>
          <w:tcPr>
            <w:tcW w:w="143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eastAsia="Calibri" w:cs="Times New Roman" w:eastAsiaTheme="minorHAnsi"/>
                <w:bCs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bCs/>
                <w:lang w:eastAsia="en-US"/>
              </w:rPr>
            </w:r>
          </w:p>
        </w:tc>
      </w:tr>
    </w:tbl>
    <w:p>
      <w:pPr>
        <w:pStyle w:val="Normal"/>
        <w:spacing w:lineRule="auto" w:line="360"/>
        <w:ind w:firstLine="709"/>
        <w:jc w:val="center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cstheme="majorBidi" w:ascii="Times New Roman" w:hAnsi="Times New Roman"/>
          <w:b/>
          <w:bCs/>
        </w:rPr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>Риски реализации типовой модели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e"/>
        <w:tblW w:w="93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57"/>
        <w:gridCol w:w="2532"/>
        <w:gridCol w:w="6350"/>
      </w:tblGrid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№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Риски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Компенсации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1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Недостаточность контингента, небольшой набор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Корректировка информационной кампании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Корректировка содержательных направлений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Формирование уникальных направлений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Мониторинг конкурентов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2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Информационная открытость проекта 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Привлечение родителей к планированию и реализации отдельных мероприятий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eastAsia="Calibri" w:cs="Times New Roman" w:asciiTheme="majorBidi" w:cstheme="majorBidi" w:hAnsiTheme="majorBidi"/>
                <w:b/>
                <w:b/>
                <w:lang w:eastAsia="en-US"/>
              </w:rPr>
            </w:pPr>
            <w:r>
              <w:rPr>
                <w:rFonts w:eastAsia="Calibri" w:cs="Times New Roman" w:cstheme="majorBidi" w:ascii="Times New Roman" w:hAnsi="Times New Roman"/>
                <w:b/>
                <w:lang w:eastAsia="en-US"/>
              </w:rPr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3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Вовлечение педагогов в разработку концептуальных документов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Делегирование ответственности педагогам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Стимулирование, моральное и материальное, активных участников реализации проекта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4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Нехватка кадров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Мониторинг сотрудников школ, студентов и выпускников ВУЗов по требуемым специальностям, специалистов предприятий, тщательный отбор сотрудников и выгодные условия работы, способные привлечь качественный персонал.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5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Репутационные риски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Постоянный контроль качества услуг, получение обратной связи от семей, партнеров и проведении корректирующих мероприятий.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6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tabs>
                <w:tab w:val="left" w:pos="1195" w:leader="none"/>
              </w:tabs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Несвоевременное открытие новых мест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7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tabs>
                <w:tab w:val="left" w:pos="3202" w:leader="none"/>
              </w:tabs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Недостижение показателей по охвату детей в возрасте от 5 до 18 лет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При планировании охвата ответственно подходить к расчету данного показателя, учитывать риски; не завышать данный показатель. При недостижении данного показателя в отчетном периоде учитывать все причины и факторы, которые повлияли на показатель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8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 допускать оборудование к эксплуатации, пока не будут проведены все контрольные тесты, в т.ч. по безопасности, доставлены все комплектующие к этому оборудованию в случае, если оборудование поставляется частями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9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Несвоевременные поставки оборудования Поставщиком, а также Заказчика со склада в образовательные организации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10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Завышение начальной максимальной цены, повторное проведение конкурсов (аукционов).</w:t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Мониторинг и контроль документации осуществляемых закупок с проверкой ценобразования и потенциальных поставщиков.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11</w:t>
            </w:r>
          </w:p>
        </w:tc>
        <w:tc>
          <w:tcPr>
            <w:tcW w:w="2532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Отсутствие новых программ под закупаемое оборудование</w:t>
            </w:r>
          </w:p>
        </w:tc>
        <w:tc>
          <w:tcPr>
            <w:tcW w:w="6350" w:type="dxa"/>
            <w:tcBorders/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>
      <w:pPr>
        <w:pStyle w:val="Normal"/>
        <w:rPr>
          <w:rFonts w:ascii="Times New Roman" w:hAnsi="Times New Roman" w:cs="Times New Roman" w:asciiTheme="majorBidi" w:cstheme="majorBidi" w:hAnsiTheme="majorBidi"/>
          <w:b/>
          <w:b/>
          <w:sz w:val="28"/>
        </w:rPr>
      </w:pPr>
      <w:r>
        <w:rPr>
          <w:rFonts w:cs="Times New Roman" w:cstheme="majorBidi" w:ascii="Times New Roman" w:hAnsi="Times New Roman"/>
          <w:b/>
          <w:sz w:val="28"/>
        </w:rPr>
      </w:r>
      <w:r>
        <w:br w:type="page"/>
      </w:r>
    </w:p>
    <w:p>
      <w:pPr>
        <w:pStyle w:val="ConsPlusNormal"/>
        <w:spacing w:lineRule="auto" w:line="360"/>
        <w:jc w:val="right"/>
        <w:rPr>
          <w:b/>
          <w:b/>
          <w:bCs/>
          <w:szCs w:val="28"/>
        </w:rPr>
      </w:pPr>
      <w:r>
        <w:rPr>
          <w:b/>
          <w:bCs/>
          <w:szCs w:val="28"/>
        </w:rPr>
        <w:t>Приложение 2</w:t>
      </w:r>
    </w:p>
    <w:p>
      <w:pPr>
        <w:pStyle w:val="ConsPlusNormal"/>
        <w:spacing w:lineRule="auto" w:line="360"/>
        <w:jc w:val="center"/>
        <w:rPr>
          <w:b/>
          <w:b/>
          <w:bCs/>
        </w:rPr>
      </w:pPr>
      <w:r>
        <w:rPr>
          <w:b/>
          <w:bCs/>
        </w:rPr>
        <w:t>Примерная информационная стратегия типовой модели «Диалог наук»</w:t>
      </w:r>
    </w:p>
    <w:p>
      <w:pPr>
        <w:pStyle w:val="ConsPlusNormal"/>
        <w:spacing w:lineRule="auto" w:line="360"/>
        <w:ind w:firstLine="709"/>
        <w:jc w:val="both"/>
        <w:rPr/>
      </w:pPr>
      <w:r>
        <w:rPr/>
        <w:t xml:space="preserve">Информационная стратегия для настоящей типовой модели – набор наиболее эффективных инструментов воздействия на целевые аудитории и программу использования этих инструментов, включающую в себя три основных параметра: целевые аудитории, коммуникационное сообщение и форматы коммуникации. 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модель «Диалог наук», рекомендуется включить следующие этапы:</w:t>
      </w:r>
    </w:p>
    <w:p>
      <w:pPr>
        <w:pStyle w:val="ConsPlusNormal"/>
        <w:numPr>
          <w:ilvl w:val="0"/>
          <w:numId w:val="27"/>
        </w:numPr>
        <w:tabs>
          <w:tab w:val="left" w:pos="284" w:leader="none"/>
        </w:tabs>
        <w:spacing w:lineRule="auto" w:line="360"/>
        <w:ind w:left="0" w:firstLine="709"/>
        <w:jc w:val="both"/>
        <w:rPr>
          <w:i/>
          <w:i/>
          <w:iCs/>
        </w:rPr>
      </w:pPr>
      <w:r>
        <w:rPr>
          <w:i/>
          <w:iCs/>
        </w:rPr>
        <w:t>Анализ внутренней среды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 xml:space="preserve">Рекомендуется, отталкиваясь от результатов </w:t>
      </w:r>
      <w:r>
        <w:rPr>
          <w:lang w:val="en-US"/>
        </w:rPr>
        <w:t>SWOT</w:t>
      </w:r>
      <w:r>
        <w:rPr/>
        <w:t>-анализа организации и проекта, зафиксировать сильные стороны, возможности для позиционирования, учитывая возможные риски.</w:t>
      </w:r>
    </w:p>
    <w:p>
      <w:pPr>
        <w:pStyle w:val="ConsPlusNormal"/>
        <w:numPr>
          <w:ilvl w:val="0"/>
          <w:numId w:val="27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>
          <w:i/>
          <w:iCs/>
        </w:rPr>
        <w:t xml:space="preserve">Анализ внешней среды 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Рекомендуется, отталкиваясь от результатов SWOT-анализа организации и проекта определить ключевые целевые аудитории, их особенности, составить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 и партнеров, которая стремится удовлетворить ту потребность, которую решает проект типовой модели «Диалог наук». Необходимо определить круг людей и стейхолдеров, которым будет интересно развитие именно научных способностей, общего развития и универсальных компетентностей, профориентационных возможностей модели в сфере связанных профессий.</w:t>
      </w:r>
    </w:p>
    <w:p>
      <w:pPr>
        <w:pStyle w:val="ConsPlusNormal"/>
        <w:numPr>
          <w:ilvl w:val="0"/>
          <w:numId w:val="27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 xml:space="preserve">Определение возможных </w:t>
      </w:r>
      <w:r>
        <w:rPr>
          <w:i/>
          <w:iCs/>
        </w:rPr>
        <w:t>направлений и задач информационной стратегии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бизнес-партнеры, семьи, органы власти, образовательные организации и т.д.</w:t>
      </w:r>
    </w:p>
    <w:p>
      <w:pPr>
        <w:pStyle w:val="ConsPlusNormal"/>
        <w:numPr>
          <w:ilvl w:val="0"/>
          <w:numId w:val="27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>
          <w:i/>
          <w:iCs/>
        </w:rPr>
        <w:t>Выбор форматов, каналов и периодичности информирования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Ключевыми каналами для реализации информационной стратегии могут выступать:</w:t>
      </w:r>
    </w:p>
    <w:p>
      <w:pPr>
        <w:pStyle w:val="ConsPlusNormal"/>
        <w:numPr>
          <w:ilvl w:val="0"/>
          <w:numId w:val="29"/>
        </w:numPr>
        <w:tabs>
          <w:tab w:val="left" w:pos="0" w:leader="none"/>
        </w:tabs>
        <w:spacing w:lineRule="auto" w:line="360"/>
        <w:ind w:left="0" w:firstLine="709"/>
        <w:jc w:val="both"/>
        <w:rPr/>
      </w:pPr>
      <w:r>
        <w:rPr/>
        <w:t>сайт организации;</w:t>
      </w:r>
    </w:p>
    <w:p>
      <w:pPr>
        <w:pStyle w:val="ConsPlusNormal"/>
        <w:numPr>
          <w:ilvl w:val="0"/>
          <w:numId w:val="29"/>
        </w:numPr>
        <w:tabs>
          <w:tab w:val="left" w:pos="0" w:leader="none"/>
        </w:tabs>
        <w:spacing w:lineRule="auto" w:line="360"/>
        <w:ind w:left="0" w:firstLine="709"/>
        <w:jc w:val="both"/>
        <w:rPr/>
      </w:pPr>
      <w:r>
        <w:rPr/>
        <w:t>местная печатная и электронная пресса;</w:t>
      </w:r>
    </w:p>
    <w:p>
      <w:pPr>
        <w:pStyle w:val="ConsPlusNormal"/>
        <w:numPr>
          <w:ilvl w:val="0"/>
          <w:numId w:val="29"/>
        </w:numPr>
        <w:tabs>
          <w:tab w:val="left" w:pos="0" w:leader="none"/>
        </w:tabs>
        <w:spacing w:lineRule="auto" w:line="360"/>
        <w:ind w:left="0" w:firstLine="709"/>
        <w:jc w:val="both"/>
        <w:rPr/>
      </w:pPr>
      <w:r>
        <w:rPr/>
        <w:t>социальные сети;</w:t>
      </w:r>
    </w:p>
    <w:p>
      <w:pPr>
        <w:pStyle w:val="ConsPlusNormal"/>
        <w:numPr>
          <w:ilvl w:val="0"/>
          <w:numId w:val="29"/>
        </w:numPr>
        <w:tabs>
          <w:tab w:val="left" w:pos="0" w:leader="none"/>
        </w:tabs>
        <w:spacing w:lineRule="auto" w:line="360"/>
        <w:ind w:left="0" w:firstLine="709"/>
        <w:jc w:val="both"/>
        <w:rPr/>
      </w:pPr>
      <w:r>
        <w:rPr/>
        <w:t>телевидение и радио;</w:t>
      </w:r>
    </w:p>
    <w:p>
      <w:pPr>
        <w:pStyle w:val="ConsPlusNormal"/>
        <w:numPr>
          <w:ilvl w:val="0"/>
          <w:numId w:val="29"/>
        </w:numPr>
        <w:tabs>
          <w:tab w:val="left" w:pos="0" w:leader="none"/>
        </w:tabs>
        <w:spacing w:lineRule="auto" w:line="360"/>
        <w:ind w:left="0" w:firstLine="709"/>
        <w:jc w:val="both"/>
        <w:rPr/>
      </w:pPr>
      <w:r>
        <w:rPr/>
        <w:t>профильные сайты об образовании.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Возможные каналы продвижения в сети Интернет:</w:t>
      </w:r>
    </w:p>
    <w:p>
      <w:pPr>
        <w:pStyle w:val="ConsPlusNormal"/>
        <w:numPr>
          <w:ilvl w:val="0"/>
          <w:numId w:val="28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>поисковая оптимизация и продвижение;</w:t>
      </w:r>
    </w:p>
    <w:p>
      <w:pPr>
        <w:pStyle w:val="ConsPlusNormal"/>
        <w:numPr>
          <w:ilvl w:val="0"/>
          <w:numId w:val="28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>контент-маркетинг;</w:t>
      </w:r>
    </w:p>
    <w:p>
      <w:pPr>
        <w:pStyle w:val="ConsPlusNormal"/>
        <w:numPr>
          <w:ilvl w:val="0"/>
          <w:numId w:val="28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>контекстная реклама;</w:t>
      </w:r>
    </w:p>
    <w:p>
      <w:pPr>
        <w:pStyle w:val="ConsPlusNormal"/>
        <w:numPr>
          <w:ilvl w:val="0"/>
          <w:numId w:val="28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>таргетированная реклама;</w:t>
      </w:r>
    </w:p>
    <w:p>
      <w:pPr>
        <w:pStyle w:val="ConsPlusNormal"/>
        <w:numPr>
          <w:ilvl w:val="0"/>
          <w:numId w:val="28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>маркетинг в социальных сетях;</w:t>
      </w:r>
    </w:p>
    <w:p>
      <w:pPr>
        <w:pStyle w:val="ConsPlusNormal"/>
        <w:numPr>
          <w:ilvl w:val="0"/>
          <w:numId w:val="28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>E-mail-маркетинг;</w:t>
      </w:r>
    </w:p>
    <w:p>
      <w:pPr>
        <w:pStyle w:val="ConsPlusNormal"/>
        <w:numPr>
          <w:ilvl w:val="0"/>
          <w:numId w:val="28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>видеомаркетинг.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>
      <w:pPr>
        <w:pStyle w:val="ConsPlusNormal"/>
        <w:tabs>
          <w:tab w:val="left" w:pos="284" w:leader="none"/>
        </w:tabs>
        <w:spacing w:lineRule="auto" w:line="360"/>
        <w:ind w:firstLine="709"/>
        <w:jc w:val="both"/>
        <w:rPr/>
      </w:pPr>
      <w:r>
        <w:rPr/>
      </w:r>
    </w:p>
    <w:p>
      <w:pPr>
        <w:pStyle w:val="ConsPlusNormal"/>
        <w:numPr>
          <w:ilvl w:val="0"/>
          <w:numId w:val="27"/>
        </w:numPr>
        <w:tabs>
          <w:tab w:val="left" w:pos="284" w:leader="none"/>
        </w:tabs>
        <w:spacing w:lineRule="auto" w:line="360"/>
        <w:ind w:left="0" w:firstLine="709"/>
        <w:jc w:val="both"/>
        <w:rPr/>
      </w:pPr>
      <w:r>
        <w:rPr/>
        <w:t xml:space="preserve">Определение </w:t>
      </w:r>
      <w:r>
        <w:rPr>
          <w:i/>
          <w:iCs/>
        </w:rPr>
        <w:t>текущего и перспективного планирования</w:t>
      </w:r>
      <w:r>
        <w:rPr/>
        <w:t xml:space="preserve"> информационной стратегии может осуществляться в соответствии с примерной формой:</w:t>
      </w:r>
    </w:p>
    <w:tbl>
      <w:tblPr>
        <w:tblStyle w:val="ae"/>
        <w:tblW w:w="93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57"/>
        <w:gridCol w:w="3009"/>
        <w:gridCol w:w="1365"/>
        <w:gridCol w:w="1707"/>
        <w:gridCol w:w="1687"/>
        <w:gridCol w:w="1113"/>
      </w:tblGrid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  <w:bCs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bCs/>
                <w:szCs w:val="22"/>
                <w:lang w:eastAsia="en-US"/>
              </w:rPr>
              <w:t>№</w:t>
            </w:r>
          </w:p>
        </w:tc>
        <w:tc>
          <w:tcPr>
            <w:tcW w:w="3009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  <w:bCs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bCs/>
                <w:szCs w:val="22"/>
                <w:lang w:eastAsia="en-US"/>
              </w:rPr>
              <w:t>Мероприятие/задача</w:t>
            </w:r>
          </w:p>
        </w:tc>
        <w:tc>
          <w:tcPr>
            <w:tcW w:w="1365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  <w:bCs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bCs/>
                <w:szCs w:val="22"/>
                <w:lang w:eastAsia="en-US"/>
              </w:rPr>
              <w:t>Целевые аудитории</w:t>
            </w:r>
          </w:p>
        </w:tc>
        <w:tc>
          <w:tcPr>
            <w:tcW w:w="1707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  <w:bCs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bCs/>
                <w:szCs w:val="22"/>
                <w:lang w:eastAsia="en-US"/>
              </w:rPr>
              <w:t>Каналы</w:t>
            </w:r>
          </w:p>
        </w:tc>
        <w:tc>
          <w:tcPr>
            <w:tcW w:w="1687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  <w:bCs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bCs/>
                <w:szCs w:val="22"/>
                <w:lang w:eastAsia="en-US"/>
              </w:rPr>
              <w:t>Форма</w:t>
            </w:r>
          </w:p>
        </w:tc>
        <w:tc>
          <w:tcPr>
            <w:tcW w:w="1113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  <w:bCs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bCs/>
                <w:szCs w:val="22"/>
                <w:lang w:eastAsia="en-US"/>
              </w:rPr>
              <w:t>Срок</w:t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szCs w:val="22"/>
                <w:lang w:eastAsia="en-US"/>
              </w:rPr>
              <w:t>1</w:t>
            </w:r>
          </w:p>
        </w:tc>
        <w:tc>
          <w:tcPr>
            <w:tcW w:w="3009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szCs w:val="22"/>
                <w:lang w:eastAsia="en-US"/>
              </w:rPr>
              <w:t>Информирование семей о начале набора на программы модели</w:t>
            </w:r>
          </w:p>
        </w:tc>
        <w:tc>
          <w:tcPr>
            <w:tcW w:w="1365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lang w:eastAsia="en-US"/>
              </w:rPr>
              <w:t>Семьи с детьми, органы власти, бизнес</w:t>
            </w:r>
          </w:p>
        </w:tc>
        <w:tc>
          <w:tcPr>
            <w:tcW w:w="170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lang w:eastAsia="en-US"/>
              </w:rPr>
              <w:t>Региональные и местные СМИ</w:t>
            </w:r>
          </w:p>
        </w:tc>
        <w:tc>
          <w:tcPr>
            <w:tcW w:w="168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lang w:eastAsia="en-US"/>
              </w:rPr>
              <w:t>Пресс-релиз</w:t>
            </w:r>
          </w:p>
        </w:tc>
        <w:tc>
          <w:tcPr>
            <w:tcW w:w="111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szCs w:val="2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Cs w:val="22"/>
                <w:lang w:eastAsia="en-US"/>
              </w:rPr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szCs w:val="22"/>
                <w:lang w:eastAsia="en-US"/>
              </w:rPr>
              <w:t>2</w:t>
            </w:r>
          </w:p>
        </w:tc>
        <w:tc>
          <w:tcPr>
            <w:tcW w:w="3009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szCs w:val="22"/>
                <w:lang w:eastAsia="en-US"/>
              </w:rPr>
              <w:t>Разъяснение предназначения создаваемых новых мест</w:t>
            </w:r>
          </w:p>
        </w:tc>
        <w:tc>
          <w:tcPr>
            <w:tcW w:w="1365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lang w:eastAsia="en-US"/>
              </w:rPr>
              <w:t>Семьи с детьми</w:t>
            </w:r>
          </w:p>
        </w:tc>
        <w:tc>
          <w:tcPr>
            <w:tcW w:w="170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lang w:eastAsia="en-US"/>
              </w:rPr>
              <w:t>ТВ и интернет-трансляция</w:t>
            </w:r>
          </w:p>
        </w:tc>
        <w:tc>
          <w:tcPr>
            <w:tcW w:w="168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lang w:eastAsia="en-US"/>
              </w:rPr>
              <w:t>Пресс-конференция</w:t>
            </w:r>
          </w:p>
        </w:tc>
        <w:tc>
          <w:tcPr>
            <w:tcW w:w="111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szCs w:val="2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Cs w:val="22"/>
                <w:lang w:eastAsia="en-US"/>
              </w:rPr>
            </w:r>
          </w:p>
        </w:tc>
      </w:tr>
      <w:tr>
        <w:trPr/>
        <w:tc>
          <w:tcPr>
            <w:tcW w:w="45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szCs w:val="2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Cs w:val="22"/>
                <w:lang w:eastAsia="en-US"/>
              </w:rPr>
            </w:r>
          </w:p>
        </w:tc>
        <w:tc>
          <w:tcPr>
            <w:tcW w:w="3009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2"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szCs w:val="22"/>
                <w:lang w:eastAsia="en-US"/>
              </w:rPr>
              <w:t>…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szCs w:val="22"/>
                <w:lang w:eastAsia="en-US"/>
              </w:rPr>
              <w:t>и т.д.</w:t>
            </w:r>
          </w:p>
        </w:tc>
        <w:tc>
          <w:tcPr>
            <w:tcW w:w="1365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szCs w:val="2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Cs w:val="22"/>
                <w:lang w:eastAsia="en-US"/>
              </w:rPr>
            </w:r>
          </w:p>
        </w:tc>
        <w:tc>
          <w:tcPr>
            <w:tcW w:w="170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szCs w:val="2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Cs w:val="22"/>
                <w:lang w:eastAsia="en-US"/>
              </w:rPr>
            </w:r>
          </w:p>
        </w:tc>
        <w:tc>
          <w:tcPr>
            <w:tcW w:w="168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szCs w:val="2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Cs w:val="22"/>
                <w:lang w:eastAsia="en-US"/>
              </w:rPr>
            </w:r>
          </w:p>
        </w:tc>
        <w:tc>
          <w:tcPr>
            <w:tcW w:w="111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eastAsia="Calibri" w:cs="Times New Roman" w:eastAsiaTheme="minorHAnsi"/>
                <w:szCs w:val="22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Cs w:val="22"/>
                <w:lang w:eastAsia="en-US"/>
              </w:rPr>
            </w:r>
          </w:p>
        </w:tc>
      </w:tr>
    </w:tbl>
    <w:p>
      <w:pPr>
        <w:pStyle w:val="ConsPlusNormal"/>
        <w:spacing w:lineRule="auto" w:line="360"/>
        <w:ind w:firstLine="709"/>
        <w:jc w:val="both"/>
        <w:rPr/>
      </w:pPr>
      <w:r>
        <w:rPr/>
      </w:r>
    </w:p>
    <w:p>
      <w:pPr>
        <w:pStyle w:val="ConsPlusNormal"/>
        <w:spacing w:lineRule="auto" w:line="360"/>
        <w:ind w:firstLine="709"/>
        <w:jc w:val="both"/>
        <w:rPr/>
      </w:pPr>
      <w:r>
        <w:rPr/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  <w:r>
        <w:br w:type="page"/>
      </w:r>
    </w:p>
    <w:p>
      <w:pPr>
        <w:pStyle w:val="Normal"/>
        <w:jc w:val="right"/>
        <w:rPr>
          <w:rFonts w:ascii="Times New Roman" w:hAnsi="Times New Roman" w:cs="Times New Roman" w:asciiTheme="majorBidi" w:cstheme="majorBidi" w:hAnsiTheme="majorBidi"/>
          <w:b/>
          <w:b/>
          <w:szCs w:val="28"/>
        </w:rPr>
      </w:pPr>
      <w:r>
        <w:rPr>
          <w:rFonts w:cs="Times New Roman" w:ascii="Times New Roman" w:hAnsi="Times New Roman" w:asciiTheme="majorBidi" w:cstheme="majorBidi" w:hAnsiTheme="majorBidi"/>
          <w:b/>
          <w:szCs w:val="28"/>
        </w:rPr>
        <w:t>Приложение 3</w:t>
      </w:r>
    </w:p>
    <w:p>
      <w:pPr>
        <w:pStyle w:val="Normal"/>
        <w:spacing w:lineRule="auto" w:line="360"/>
        <w:rPr>
          <w:rFonts w:ascii="Times New Roman" w:hAnsi="Times New Roman" w:cs="Times New Roman" w:asciiTheme="majorBidi" w:cstheme="majorBidi" w:hAnsiTheme="majorBidi"/>
          <w:b/>
          <w:b/>
          <w:sz w:val="28"/>
        </w:rPr>
      </w:pPr>
      <w:r>
        <w:rPr>
          <w:rFonts w:cs="Times New Roman" w:cstheme="majorBidi" w:ascii="Times New Roman" w:hAnsi="Times New Roman"/>
          <w:b/>
          <w:sz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 xml:space="preserve">Основные индикаторы и показатели типовой модели «Диалог наук»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</w:rPr>
        <w:t>и м</w:t>
      </w:r>
      <w:r>
        <w:rPr>
          <w:rFonts w:cs="Times New Roman" w:ascii="Times New Roman" w:hAnsi="Times New Roman" w:asciiTheme="majorBidi" w:cstheme="majorBidi" w:hAnsiTheme="majorBidi"/>
          <w:b/>
          <w:bCs/>
        </w:rPr>
        <w:t xml:space="preserve">етодика их расчета </w:t>
      </w:r>
    </w:p>
    <w:tbl>
      <w:tblPr>
        <w:tblStyle w:val="ae"/>
        <w:tblW w:w="935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97"/>
        <w:gridCol w:w="3193"/>
        <w:gridCol w:w="700"/>
        <w:gridCol w:w="4960"/>
      </w:tblGrid>
      <w:tr>
        <w:trPr>
          <w:trHeight w:val="562" w:hRule="atLeast"/>
        </w:trPr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№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Наименование индикатора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Ед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Методика расчета показателей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1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детей в возрасте 5-18 лет в муниципальном образовании, охваченных программами естественнонаучной направленности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lang w:val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Х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N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/>
                <w:bCs/>
                <w:lang w:eastAsia="en-US"/>
              </w:rPr>
              <w:t xml:space="preserve">,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 – доля детей в возрасте 5-18 лет в муниципальном образовании, охваченных программами естественнонаучной направленности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N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2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X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P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 – доля, охваченных системой профессиональной ориентации и профессиональной проб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количество учащихся, принявших участие в профориентационных мероприятиях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учащихся типовой модели в текущем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3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детей, проявивших выдающиеся способности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V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X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V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 – доля детей, проявивших выдающиеся способности по программам естественнонаучной направленности в текущем году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количество учащихся, ставших победителями и призерами конкурсов, входящих в соответствующие перечни по профилю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учащихся типовой модели в текущем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4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детей, продолжающих обучение на следующий год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Z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fPr>
                  <m:type m:val="lin"/>
                </m:fPr>
                <m:num>
                  <m:d>
                    <m:dPr>
                      <m:begChr m:val="("/>
                      <m:endChr m:val=")"/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  <m:r>
                        <w:rPr>
                          <w:rFonts w:ascii="Cambria Math" w:hAnsi="Cambria Math"/>
                        </w:rPr>
                        <m:t xml:space="preserve">−</m:t>
                      </m:r>
                      <m:r>
                        <w:rPr>
                          <w:rFonts w:ascii="Cambria Math" w:hAnsi="Cambria Math"/>
                        </w:rPr>
                        <m:t xml:space="preserve">Y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 xml:space="preserve">X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Z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 – доля детей, продолжающих обучение на следующий год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количество учащихся в новом учебном году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новых учащихся в новом учебном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5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детей, принявших участие в интенсивных форматах дополнительного образования и мероприятиях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I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X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I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 – доля детей, принявших участие в интенсивных форматах дополнительного образования и мероприятиях 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количество учащихся, не менее двух раз ставших участниками мероприятий и интенсивных форматов модели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учащихся типовой модели в текущем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6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R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X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val="en-US" w:eastAsia="en-US"/>
              </w:rPr>
              <w:t>R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– доля детей, воспользовавшиеся возможностью обучения по индивидуальным учебным планам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количество учащихся, обучающихся по индивидуальным учебным планам в текущем учебном году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учащихся типовой модели в текущем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7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детей, охваченная системой наставничества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N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X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val="en-US" w:eastAsia="en-US"/>
              </w:rPr>
              <w:t>N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 – доля детей, охваченная системой наставничества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количество учащихся, включенных в разные виды наставничества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учащихся типовой модели в текущем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8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X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val="en-US" w:eastAsia="en-US"/>
              </w:rPr>
              <w:t>T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 – доля детей, участвующих в проектах с участием партнеров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количество учащихся, принявших участие в реализации образовательных проектов с участием партнеров не менее двух раз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учащихся организации, создавших новые места по типовой модели в текущем году</w:t>
            </w:r>
          </w:p>
        </w:tc>
      </w:tr>
      <w:tr>
        <w:trPr/>
        <w:tc>
          <w:tcPr>
            <w:tcW w:w="497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>9</w:t>
            </w:r>
          </w:p>
        </w:tc>
        <w:tc>
          <w:tcPr>
            <w:tcW w:w="3193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700" w:type="dxa"/>
            <w:tcBorders/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position w:val="-23"/>
                <w:lang w:val="en-US" w:eastAsia="en-US"/>
              </w:rPr>
              <w:t>%</w:t>
            </w:r>
          </w:p>
        </w:tc>
        <w:tc>
          <w:tcPr>
            <w:tcW w:w="4960" w:type="dxa"/>
            <w:tcBorders/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/>
                <w:lang w:eastAsia="en-US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S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X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Y</m:t>
                  </m:r>
                </m:den>
              </m:f>
              <m:r>
                <w:rPr>
                  <w:rFonts w:ascii="Cambria Math" w:hAnsi="Cambria Math"/>
                </w:rPr>
                <m:t xml:space="preserve">×</m:t>
              </m:r>
              <m:r>
                <w:rPr>
                  <w:rFonts w:ascii="Cambria Math" w:hAnsi="Cambria Math"/>
                </w:rPr>
                <m:t xml:space="preserve">100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%</m:t>
              </m:r>
            </m:oMath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, где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S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– доля сотрудников, освоивших современные программы ДПО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C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X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 –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val="en-US" w:eastAsia="en-US"/>
              </w:rPr>
              <w:t>Y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lang w:eastAsia="en-US"/>
              </w:rPr>
              <w:t xml:space="preserve">- </w:t>
            </w:r>
            <w:r>
              <w:rPr>
                <w:rFonts w:eastAsia="Calibri" w:cs="Times New Roman" w:ascii="Times New Roman" w:hAnsi="Times New Roman" w:asciiTheme="majorBidi" w:cstheme="majorBidi" w:hAnsiTheme="majorBidi"/>
                <w:bCs/>
                <w:lang w:eastAsia="en-US"/>
              </w:rPr>
              <w:t>численность сотрудников в текущем году</w:t>
            </w:r>
          </w:p>
        </w:tc>
      </w:tr>
    </w:tbl>
    <w:p>
      <w:pPr>
        <w:pStyle w:val="Normal"/>
        <w:rPr>
          <w:rFonts w:ascii="Times New Roman" w:hAnsi="Times New Roman" w:cs="Times New Roman" w:asciiTheme="majorBidi" w:cstheme="majorBidi" w:hAnsiTheme="majorBidi"/>
          <w:sz w:val="28"/>
          <w:szCs w:val="28"/>
        </w:rPr>
      </w:pPr>
      <w:r>
        <w:rPr>
          <w:rFonts w:cs="Times New Roman" w:cstheme="majorBidi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 w:asciiTheme="majorBidi" w:cstheme="majorBidi" w:hAnsiTheme="majorBidi"/>
          <w:b/>
          <w:b/>
          <w:bCs/>
          <w:i/>
          <w:i/>
          <w:iCs/>
          <w:sz w:val="28"/>
          <w:szCs w:val="28"/>
        </w:rPr>
      </w:pPr>
      <w:r>
        <w:rPr>
          <w:rFonts w:cs="Times New Roman" w:cstheme="majorBidi" w:ascii="Times New Roman" w:hAnsi="Times New Roman"/>
          <w:b/>
          <w:bCs/>
          <w:i/>
          <w:iCs/>
          <w:sz w:val="28"/>
          <w:szCs w:val="28"/>
        </w:rPr>
      </w:r>
      <w:r>
        <w:br w:type="page"/>
      </w:r>
    </w:p>
    <w:p>
      <w:pPr>
        <w:pStyle w:val="Normal"/>
        <w:jc w:val="right"/>
        <w:rPr>
          <w:rFonts w:ascii="Times New Roman" w:hAnsi="Times New Roman" w:cs="Times New Roman" w:asciiTheme="majorBidi" w:cstheme="majorBidi" w:hAnsiTheme="majorBidi"/>
          <w:b/>
          <w:b/>
          <w:bCs/>
          <w:iCs/>
          <w:szCs w:val="28"/>
        </w:rPr>
      </w:pPr>
      <w:r>
        <w:rPr>
          <w:rFonts w:cs="Times New Roman" w:ascii="Times New Roman" w:hAnsi="Times New Roman" w:asciiTheme="majorBidi" w:cstheme="majorBidi" w:hAnsiTheme="majorBidi"/>
          <w:b/>
          <w:bCs/>
          <w:iCs/>
          <w:szCs w:val="28"/>
        </w:rPr>
        <w:t>Приложение 4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bCs/>
          <w:iCs/>
          <w:szCs w:val="28"/>
        </w:rPr>
      </w:pPr>
      <w:r>
        <w:rPr>
          <w:rFonts w:cs="Times New Roman" w:cstheme="majorBidi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Порядок самообследования в рамках типовой модели «Диалог наук» предполагает следующие шаги:</w:t>
      </w:r>
    </w:p>
    <w:p>
      <w:pPr>
        <w:pStyle w:val="ListParagraph"/>
        <w:numPr>
          <w:ilvl w:val="0"/>
          <w:numId w:val="6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Инвентаризация ресурсов.</w:t>
      </w:r>
    </w:p>
    <w:p>
      <w:pPr>
        <w:pStyle w:val="ListParagraph"/>
        <w:numPr>
          <w:ilvl w:val="0"/>
          <w:numId w:val="6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Выбор направлений и тематик.</w:t>
      </w:r>
    </w:p>
    <w:p>
      <w:pPr>
        <w:pStyle w:val="ListParagraph"/>
        <w:numPr>
          <w:ilvl w:val="0"/>
          <w:numId w:val="6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Выбор масштаба и формы реализации.</w:t>
      </w:r>
    </w:p>
    <w:p>
      <w:pPr>
        <w:pStyle w:val="ListParagraph"/>
        <w:numPr>
          <w:ilvl w:val="0"/>
          <w:numId w:val="6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Согласование с региональной политикой.</w:t>
      </w:r>
    </w:p>
    <w:p>
      <w:pPr>
        <w:pStyle w:val="ListParagraph"/>
        <w:numPr>
          <w:ilvl w:val="0"/>
          <w:numId w:val="6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Учет интересов разных групп пользователей.</w:t>
      </w:r>
    </w:p>
    <w:p>
      <w:pPr>
        <w:pStyle w:val="ListParagraph"/>
        <w:numPr>
          <w:ilvl w:val="0"/>
          <w:numId w:val="6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Определение модели ресурсного обеспечения и нормативных затрат на реализацию типовой модели.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самообследования и анализа определенных характеристик развиваемой системы дополнительного образования (регионального и муниципального уровней).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Источниками данных для проведения самообследования могут стать:</w:t>
      </w:r>
    </w:p>
    <w:p>
      <w:pPr>
        <w:pStyle w:val="ListParagraph"/>
        <w:numPr>
          <w:ilvl w:val="0"/>
          <w:numId w:val="15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формы статистического наблюдения 1-ДО и 1-ДОП;</w:t>
      </w:r>
    </w:p>
    <w:p>
      <w:pPr>
        <w:pStyle w:val="ListParagraph"/>
        <w:numPr>
          <w:ilvl w:val="0"/>
          <w:numId w:val="15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данные региональных навигаторов дополнительного образования;</w:t>
      </w:r>
    </w:p>
    <w:p>
      <w:pPr>
        <w:pStyle w:val="ListParagraph"/>
        <w:numPr>
          <w:ilvl w:val="0"/>
          <w:numId w:val="15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данные проведенной инвентаризации;</w:t>
      </w:r>
    </w:p>
    <w:p>
      <w:pPr>
        <w:pStyle w:val="ListParagraph"/>
        <w:numPr>
          <w:ilvl w:val="0"/>
          <w:numId w:val="15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данные социологических исследований;</w:t>
      </w:r>
    </w:p>
    <w:p>
      <w:pPr>
        <w:pStyle w:val="ListParagraph"/>
        <w:numPr>
          <w:ilvl w:val="0"/>
          <w:numId w:val="15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данные портала для размещения официальной информации о государственных (муниципальных) учреждениях;</w:t>
      </w:r>
    </w:p>
    <w:p>
      <w:pPr>
        <w:pStyle w:val="ListParagraph"/>
        <w:numPr>
          <w:ilvl w:val="0"/>
          <w:numId w:val="15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дтчеты о самообследовании образовательных организаций;</w:t>
      </w:r>
    </w:p>
    <w:p>
      <w:pPr>
        <w:pStyle w:val="ListParagraph"/>
        <w:numPr>
          <w:ilvl w:val="0"/>
          <w:numId w:val="15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другие источники.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Далее рассмотрим последовательность (алгоритм) осуществления выбора и соответствующий ему порядок самообследования.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cstheme="majorBidi" w:ascii="Times New Roman" w:hAnsi="Times New Roman"/>
          <w:b/>
          <w:bCs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1 этап. Выбор образовательных направлений и тематик в рамках модели.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При выборе образовательных направлений и тематик целесообразно рассмотреть следующие основания: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1) </w:t>
      </w:r>
      <w:r>
        <w:rPr>
          <w:rFonts w:cs="Times New Roman" w:ascii="Times New Roman" w:hAnsi="Times New Roman"/>
          <w:i/>
          <w:szCs w:val="28"/>
        </w:rPr>
        <w:t>Потребности и запрос разных стейкхолдеров</w:t>
      </w:r>
      <w:r>
        <w:rPr>
          <w:rFonts w:cs="Times New Roman" w:ascii="Times New Roman" w:hAnsi="Times New Roman"/>
          <w:szCs w:val="28"/>
        </w:rPr>
        <w:t>. Это основание предполагает осуществление выбора степени учета потребностей разных интересантов. Можно выделить две категории основных субъектов, заинтересованных в результатах реализации дополнительных общеобразовательных программ естественнонаучной направленности: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>
      <w:pPr>
        <w:pStyle w:val="ListParagraph"/>
        <w:numPr>
          <w:ilvl w:val="0"/>
          <w:numId w:val="12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i/>
          <w:szCs w:val="28"/>
        </w:rPr>
        <w:t>Запрос потребителей</w:t>
      </w:r>
      <w:r>
        <w:rPr>
          <w:rFonts w:cs="Times New Roman" w:ascii="Times New Roman" w:hAnsi="Times New Roman"/>
          <w:szCs w:val="28"/>
          <w:u w:val="single"/>
        </w:rPr>
        <w:t xml:space="preserve"> </w:t>
      </w:r>
      <w:r>
        <w:rPr>
          <w:rFonts w:cs="Times New Roman" w:ascii="Times New Roman" w:hAnsi="Times New Roman"/>
          <w:szCs w:val="28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>
      <w:pPr>
        <w:pStyle w:val="ListParagraph"/>
        <w:numPr>
          <w:ilvl w:val="0"/>
          <w:numId w:val="12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i/>
          <w:szCs w:val="28"/>
        </w:rPr>
        <w:t>Потребности региональной (муниципальной) экономики и рынка труда</w:t>
      </w:r>
      <w:r>
        <w:rPr>
          <w:rFonts w:cs="Times New Roman" w:ascii="Times New Roman" w:hAnsi="Times New Roman"/>
          <w:szCs w:val="28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>
      <w:pPr>
        <w:pStyle w:val="ListParagraph"/>
        <w:numPr>
          <w:ilvl w:val="0"/>
          <w:numId w:val="12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i/>
          <w:szCs w:val="28"/>
        </w:rPr>
        <w:t>Социокультурные потребности местных сообществ</w:t>
      </w:r>
      <w:r>
        <w:rPr>
          <w:rFonts w:cs="Times New Roman" w:ascii="Times New Roman" w:hAnsi="Times New Roman"/>
          <w:szCs w:val="28"/>
        </w:rPr>
        <w:t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субкультурные,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>
      <w:pPr>
        <w:pStyle w:val="ListParagraph"/>
        <w:numPr>
          <w:ilvl w:val="0"/>
          <w:numId w:val="12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i/>
          <w:szCs w:val="28"/>
        </w:rPr>
        <w:t>Стратегические планы и приоритеты развития региона</w:t>
      </w:r>
      <w:r>
        <w:rPr>
          <w:rFonts w:cs="Times New Roman" w:ascii="Times New Roman" w:hAnsi="Times New Roman"/>
          <w:szCs w:val="28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стейкхолдерами. Определенные ранги могут совпадать, совпадать частично или не совпадать полностью.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тематик становятся ключевым объектом развития.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В ситуации полного несовпадения потребностей ключевых стейкхолдеров выбор может строится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Вероятно, возможен вариант некоторого компромиссного решения (по принципу: «ни нашим, ни вашим»).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2) </w:t>
      </w:r>
      <w:r>
        <w:rPr>
          <w:rFonts w:cs="Times New Roman" w:ascii="Times New Roman" w:hAnsi="Times New Roman"/>
          <w:i/>
          <w:szCs w:val="28"/>
        </w:rPr>
        <w:t>Тактика управления развитием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Для осуществления выбора в неопределенной ситуации (неявные потребности стейкхолдеров,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>
      <w:pPr>
        <w:pStyle w:val="ListParagraph"/>
        <w:numPr>
          <w:ilvl w:val="0"/>
          <w:numId w:val="13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i/>
          <w:szCs w:val="28"/>
        </w:rPr>
        <w:t>Компенсирующий подход</w:t>
      </w:r>
      <w:r>
        <w:rPr>
          <w:rFonts w:cs="Times New Roman" w:ascii="Times New Roman" w:hAnsi="Times New Roman"/>
          <w:szCs w:val="28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>
      <w:pPr>
        <w:pStyle w:val="ListParagraph"/>
        <w:numPr>
          <w:ilvl w:val="0"/>
          <w:numId w:val="13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i/>
          <w:szCs w:val="28"/>
        </w:rPr>
        <w:t>Усиливающий подход</w:t>
      </w:r>
      <w:r>
        <w:rPr>
          <w:rFonts w:cs="Times New Roman" w:ascii="Times New Roman" w:hAnsi="Times New Roman"/>
          <w:szCs w:val="28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Безусловно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Для более обоснованного выбора такой тактики необходимо провести самообследование и анализ по следующим внутренним показателям системы образования: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доля детей и подростков, охваченных программами естественнонаучной направленности по тематикам;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доля охвата обучающихся разного пола, возраста, культурной принадлежности, иных значимых социальных и субкультурных групп программами по разным тематикам в рамках естественнонаучной направленности;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доля 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оценка эффективности реализации дополнительных общеразвивающих программ разной тематики, реализуемых в регионе (муниципалитете).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В идеале все указанные данные необходимо рассматривать как минимум с детализацией до уровня муниципалитетов, а ещё лучше – до уровня отдельных населенных пунктов и микрорайонов (если речь идет о крупных городах).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не образовательные организации и организаций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Итогом этого этапа выбора, построенного на основе самообследования и анализа полученных данных, станет определение приоритетной(ых) для региона образовательных направлений (модулей) модели (рисунок 2).</w:t>
      </w:r>
    </w:p>
    <w:p>
      <w:pPr>
        <w:pStyle w:val="Normal"/>
        <w:spacing w:lineRule="auto" w:line="276"/>
        <w:jc w:val="center"/>
        <w:rPr/>
      </w:pPr>
      <w:r>
        <w:rPr/>
        <w:object>
          <v:shape id="ole_rId6" style="width:355.8pt;height:318.15pt" o:ole="">
            <v:imagedata r:id="rId7" o:title=""/>
          </v:shape>
          <o:OLEObject Type="Embed" ProgID="Visio.Drawing.15" ShapeID="ole_rId6" DrawAspect="Content" ObjectID="_1032209768" r:id="rId6"/>
        </w:objec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2 – Шкалы выбора тематики и тактики создания новых мест дополнительного образования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7"/>
        <w:spacing w:lineRule="auto" w:line="360" w:before="0" w:after="0"/>
        <w:ind w:firstLine="70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 этап. Выбор масштаба и формы реализации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1) </w:t>
      </w:r>
      <w:r>
        <w:rPr>
          <w:rFonts w:cs="Times New Roman" w:ascii="Times New Roman" w:hAnsi="Times New Roman"/>
          <w:i/>
        </w:rPr>
        <w:t>Тематическая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i/>
        </w:rPr>
        <w:t>комплексность и пространственное распределение реализуемых решений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Возможен, например, вариант создания централизованного профильного областного (республиканской, краевой) центра естественнонаучного 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осваивать программы естественнонаучной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реализации такого решения, как было отмечено выше, необходимо выполнение следующих условий (рисунок 3):</w:t>
      </w:r>
    </w:p>
    <w:p>
      <w:pPr>
        <w:pStyle w:val="ListParagraph"/>
        <w:numPr>
          <w:ilvl w:val="0"/>
          <w:numId w:val="1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высокая плотность населения, </w:t>
      </w:r>
    </w:p>
    <w:p>
      <w:pPr>
        <w:pStyle w:val="ListParagraph"/>
        <w:numPr>
          <w:ilvl w:val="0"/>
          <w:numId w:val="1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развитость транспортных коммуникаций,</w:t>
      </w:r>
    </w:p>
    <w:p>
      <w:pPr>
        <w:pStyle w:val="ListParagraph"/>
        <w:numPr>
          <w:ilvl w:val="0"/>
          <w:numId w:val="19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небольшая площадь территории.</w:t>
      </w:r>
    </w:p>
    <w:p>
      <w:pPr>
        <w:pStyle w:val="ListParagraph"/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jc w:val="center"/>
        <w:rPr/>
      </w:pPr>
      <w:r>
        <w:rPr/>
        <w:object>
          <v:shape id="ole_rId8" style="width:360pt;height:322.35pt" o:ole="">
            <v:imagedata r:id="rId9" o:title=""/>
          </v:shape>
          <o:OLEObject Type="Embed" ProgID="Visio.Drawing.15" ShapeID="ole_rId8" DrawAspect="Content" ObjectID="_217222124" r:id="rId8"/>
        </w:objec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3 – Шкалы выбора масштаба и формы реализации новых мест по программам ДОД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В регионе с большой площадью и/или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больших территориях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17"/>
        <w:spacing w:lineRule="auto" w:line="360" w:before="0" w:after="0"/>
        <w:ind w:firstLine="70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 этап. Согласование с региональной политикой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1) </w:t>
      </w:r>
      <w:r>
        <w:rPr>
          <w:rFonts w:cs="Times New Roman" w:ascii="Times New Roman" w:hAnsi="Times New Roman"/>
          <w:i/>
        </w:rPr>
        <w:t>Вариативность типовой модели в рамках региона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u w:val="single"/>
        </w:rPr>
        <w:t>Единство</w:t>
      </w:r>
      <w:r>
        <w:rPr>
          <w:rFonts w:cs="Times New Roman" w:ascii="Times New Roman" w:hAnsi="Times New Roman"/>
        </w:rPr>
        <w:t xml:space="preserve"> или </w:t>
      </w:r>
      <w:r>
        <w:rPr>
          <w:rFonts w:cs="Times New Roman" w:ascii="Times New Roman" w:hAnsi="Times New Roman"/>
          <w:u w:val="single"/>
        </w:rPr>
        <w:t>вариативность</w:t>
      </w:r>
      <w:r>
        <w:rPr>
          <w:rFonts w:cs="Times New Roman" w:ascii="Times New Roman" w:hAnsi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(рисунок 4):</w:t>
      </w:r>
    </w:p>
    <w:p>
      <w:pPr>
        <w:pStyle w:val="ListParagraph"/>
        <w:spacing w:lineRule="auto" w:line="360"/>
        <w:ind w:left="709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управленческие традиции, сложившаяся модель управления системой образования в регионе (централизованная или распределенная);</w:t>
      </w:r>
    </w:p>
    <w:p>
      <w:pPr>
        <w:pStyle w:val="ListParagraph"/>
        <w:numPr>
          <w:ilvl w:val="0"/>
          <w:numId w:val="20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дифференциация 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Основанием для расширения вариативности, реализуемой в регионе типовой модели, может стать индекс Джини – статистический показатель степени расслоения общества данного региона по какому-либо изучаемому признаку. В нашем случае по тем показателям, которые были перечислены выше.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2) </w:t>
      </w:r>
      <w:r>
        <w:rPr>
          <w:rFonts w:cs="Times New Roman" w:ascii="Times New Roman" w:hAnsi="Times New Roman"/>
          <w:i/>
        </w:rPr>
        <w:t>Целевые ориентиры управленческой политики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>
      <w:pPr>
        <w:pStyle w:val="ListParagraph"/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 одной стороны, главная цель – обеспечение </w:t>
      </w:r>
      <w:r>
        <w:rPr>
          <w:rFonts w:cs="Times New Roman" w:ascii="Times New Roman" w:hAnsi="Times New Roman"/>
          <w:u w:val="single"/>
        </w:rPr>
        <w:t>доступности услуг дополнительного образования детей для всех</w:t>
      </w:r>
      <w:r>
        <w:rPr>
          <w:rFonts w:cs="Times New Roman" w:ascii="Times New Roman" w:hAnsi="Times New Roman"/>
        </w:rPr>
        <w:t xml:space="preserve"> категорий обучающихся;</w:t>
      </w:r>
    </w:p>
    <w:p>
      <w:pPr>
        <w:pStyle w:val="ListParagraph"/>
        <w:spacing w:lineRule="auto" w:line="360"/>
        <w:ind w:left="0"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 другой стороны, главная цель – обеспечение требуемых показателей </w:t>
      </w:r>
      <w:r>
        <w:rPr>
          <w:rFonts w:cs="Times New Roman" w:ascii="Times New Roman" w:hAnsi="Times New Roman"/>
          <w:u w:val="single"/>
        </w:rPr>
        <w:t>охвата наиболее быстрыми и малозатратными</w:t>
      </w:r>
      <w:r>
        <w:rPr>
          <w:rFonts w:cs="Times New Roman" w:ascii="Times New Roman" w:hAnsi="Times New Roman"/>
        </w:rPr>
        <w:t xml:space="preserve"> (с точки зрения всех типов ресурсов: материальных, кадровых, финансовых и т.д.).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фактологического обеспечения этого выбора понадобятся данные, которые уже были использованы на предыдущих этапах: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доля детей и подростков, охваченных программами ДОД по разным тематикам естественнонаучной направленности;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доля охвата обучающихся разных значимых социальных групп программами ДОД по разным тематикам;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доля дополнительных общеразвивающих программ разной тематики естественнонаучной направленности в общей численности этих программ, реализуемых в регионе (муниципалитете);</w:t>
      </w:r>
    </w:p>
    <w:p>
      <w:pPr>
        <w:pStyle w:val="ListParagraph"/>
        <w:numPr>
          <w:ilvl w:val="0"/>
          <w:numId w:val="14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оценка эффективности реализации дополнительных общеразвивающих программ разной тематики естественнонаучной направленности, реализуемых в регионе (муниципалитете).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их необходимо дополнить следующими внутренними и контекстными данными, позволяющими оценить:</w:t>
      </w:r>
    </w:p>
    <w:p>
      <w:pPr>
        <w:pStyle w:val="ListParagraph"/>
        <w:numPr>
          <w:ilvl w:val="0"/>
          <w:numId w:val="1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>
      <w:pPr>
        <w:pStyle w:val="ListParagraph"/>
        <w:numPr>
          <w:ilvl w:val="0"/>
          <w:numId w:val="1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другой, – уровень отдачи от их реализации.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Уровень вложений зависит от следующих характеристик </w:t>
      </w:r>
    </w:p>
    <w:p>
      <w:pPr>
        <w:pStyle w:val="ListParagraph"/>
        <w:numPr>
          <w:ilvl w:val="0"/>
          <w:numId w:val="1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Наличия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>
      <w:pPr>
        <w:pStyle w:val="ListParagraph"/>
        <w:numPr>
          <w:ilvl w:val="0"/>
          <w:numId w:val="1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Возможностей и источников восполнения недостающих ресурсов, которые во многом определяются экономическими показателями региона (например: 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т.д);</w:t>
      </w:r>
    </w:p>
    <w:p>
      <w:pPr>
        <w:pStyle w:val="ListParagraph"/>
        <w:numPr>
          <w:ilvl w:val="0"/>
          <w:numId w:val="17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Расходов на обеспечение необходимых условий для реализации выбранной модели (например: если речь идет о поставке оборудования в удаленные территории, то важно оценить логистические, транспортные расходы и т.д.)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Уровень отдачи в основном зависит от демографических и социокультурных характеристик территорий:</w:t>
      </w:r>
    </w:p>
    <w:p>
      <w:pPr>
        <w:pStyle w:val="ListParagraph"/>
        <w:numPr>
          <w:ilvl w:val="0"/>
          <w:numId w:val="1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Чем 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40-50 человек, а в небольшом сельском населенном пункте такого количества детей просто нет, и этот же компьютер в итоге охватит, например, не более 10-15 человек всего;</w:t>
      </w:r>
    </w:p>
    <w:p>
      <w:pPr>
        <w:pStyle w:val="ListParagraph"/>
        <w:numPr>
          <w:ilvl w:val="0"/>
          <w:numId w:val="18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>
      <w:pPr>
        <w:pStyle w:val="Normal"/>
        <w:spacing w:lineRule="auto" w:line="276"/>
        <w:jc w:val="center"/>
        <w:rPr/>
      </w:pPr>
      <w:r>
        <w:rPr/>
        <w:object>
          <v:shape id="ole_rId10" style="width:358.35pt;height:322.35pt" o:ole="">
            <v:imagedata r:id="rId11" o:title=""/>
          </v:shape>
          <o:OLEObject Type="Embed" ProgID="Visio.Drawing.15" ShapeID="ole_rId10" DrawAspect="Content" ObjectID="_759940533" r:id="rId10"/>
        </w:objec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4 – Шкалы выбора модели создания новых мест с учетом актуальной управленческой политики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7"/>
        <w:spacing w:lineRule="auto" w:line="360" w:before="0" w:after="0"/>
        <w:ind w:firstLine="70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 Этап. Учет интересов разных целевых аудиторий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 (рисунок 5).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1) </w:t>
      </w:r>
      <w:r>
        <w:rPr>
          <w:i/>
          <w:szCs w:val="24"/>
        </w:rPr>
        <w:t>Возрастные особенности обучающихся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Совершенно очевидно, что для малышей и юношества нужны разные программы и условия обучения, разные акценты в тематиках естественнонаучной направленности, разных уровнях сложности. На каких возрастных группах сконцентрировать внимание 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случаев, это дошкольники и младшие школьники. Они активнее других пользуются услугами ДОД.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Можно делать ставку на расширение предложения для категорий, которые в меньшей степени в настоящий момент вовлечены в программы ДОД. К этой категории чаще всего относятся старшие подростки и юношество.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Данные, которые понадобятся для осуществления этого выбора: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- охват дополнительными общеобразовательными программами детей разных возрастов;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- распределение 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2) </w:t>
      </w:r>
      <w:r>
        <w:rPr>
          <w:i/>
          <w:szCs w:val="24"/>
        </w:rPr>
        <w:t>Социально-экономический статус (СЭС) семей обучающихся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бэкграунд родителей, психологический климат и др.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естественнонаучной направленности) и с социальной активностью (социально-педагогической направленности). 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естественнонаучной направленности, например, язык и культура – для сохранения региональной идентичности.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>
        <w:rPr>
          <w:szCs w:val="24"/>
          <w:lang w:val="en-US"/>
        </w:rPr>
        <w:t>PR</w:t>
      </w:r>
      <w:r>
        <w:rPr>
          <w:szCs w:val="24"/>
        </w:rPr>
        <w:t>-шагов, поиска мотиваторов для данных детей, в том числе, материальных.</w:t>
      </w:r>
    </w:p>
    <w:p>
      <w:pPr>
        <w:pStyle w:val="29"/>
        <w:ind w:hanging="0"/>
        <w:jc w:val="center"/>
        <w:rPr/>
      </w:pPr>
      <w:r>
        <w:rPr/>
        <w:object>
          <v:shape id="ole_rId12" style="width:358.35pt;height:322.35pt" o:ole="">
            <v:imagedata r:id="rId13" o:title=""/>
          </v:shape>
          <o:OLEObject Type="Embed" ProgID="Visio.Drawing.15" ShapeID="ole_rId12" DrawAspect="Content" ObjectID="_1403136448" r:id="rId12"/>
        </w:objec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Рисунок 5 – Шкалы выбора модели создания новых мест по программам естественнонаучной направленности с учетом особенностей контингента обучающихся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3) </w:t>
      </w:r>
      <w:r>
        <w:rPr>
          <w:i/>
          <w:szCs w:val="24"/>
        </w:rPr>
        <w:t>Уровень дополнительных общеобразовательных программ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Уровень дополнительных общеобразовательных программ естественнонаучной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 подготовки)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 подготовки), но это не означает, что им не могут быть интересны программы ознакомительного и базового уровней.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Для осуществления этого выбора понадобятся следующие данные: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- охват обучающихся разных категорий (по возрасту и СЭС) программами естественнонаучной направленности разного уровня: ознакомительного, базового, углубленного, предпрофессиональной подготовки;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- доля программ естественнонаучной направленности разного уровня в общей численности дополнительных общеобразовательных программ.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 xml:space="preserve">4) </w:t>
      </w:r>
      <w:r>
        <w:rPr>
          <w:i/>
          <w:szCs w:val="24"/>
        </w:rPr>
        <w:t>Тип образовательных организаций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Еще один уровень конкретизации развиваемых программ естественнонаучной направленности связан с типами видами образовательных организаций, которые их реализуют. Эта шкала выбора, в отличии от всех предыдущих будет иметь не 2 полюса, а целый веер вариантов, определяемых:</w:t>
      </w:r>
    </w:p>
    <w:p>
      <w:pPr>
        <w:pStyle w:val="29"/>
        <w:numPr>
          <w:ilvl w:val="0"/>
          <w:numId w:val="22"/>
        </w:numPr>
        <w:spacing w:lineRule="auto" w:line="360"/>
        <w:ind w:left="0" w:firstLine="709"/>
        <w:rPr>
          <w:i/>
          <w:i/>
          <w:szCs w:val="24"/>
        </w:rPr>
      </w:pPr>
      <w:r>
        <w:rPr>
          <w:i/>
          <w:szCs w:val="24"/>
        </w:rPr>
        <w:t>Типом собственности:</w:t>
      </w:r>
    </w:p>
    <w:p>
      <w:pPr>
        <w:pStyle w:val="29"/>
        <w:numPr>
          <w:ilvl w:val="1"/>
          <w:numId w:val="23"/>
        </w:numPr>
        <w:spacing w:lineRule="auto" w:line="360"/>
        <w:ind w:left="0" w:firstLine="709"/>
        <w:rPr>
          <w:szCs w:val="24"/>
        </w:rPr>
      </w:pPr>
      <w:r>
        <w:rPr>
          <w:szCs w:val="24"/>
        </w:rPr>
        <w:t>Государственные,</w:t>
      </w:r>
    </w:p>
    <w:p>
      <w:pPr>
        <w:pStyle w:val="29"/>
        <w:numPr>
          <w:ilvl w:val="1"/>
          <w:numId w:val="23"/>
        </w:numPr>
        <w:spacing w:lineRule="auto" w:line="360"/>
        <w:ind w:left="0" w:firstLine="709"/>
        <w:rPr>
          <w:szCs w:val="24"/>
        </w:rPr>
      </w:pPr>
      <w:r>
        <w:rPr>
          <w:szCs w:val="24"/>
        </w:rPr>
        <w:t>Частные.</w:t>
      </w:r>
    </w:p>
    <w:p>
      <w:pPr>
        <w:pStyle w:val="29"/>
        <w:numPr>
          <w:ilvl w:val="0"/>
          <w:numId w:val="22"/>
        </w:numPr>
        <w:spacing w:lineRule="auto" w:line="360"/>
        <w:ind w:left="0" w:firstLine="709"/>
        <w:rPr>
          <w:i/>
          <w:i/>
          <w:szCs w:val="24"/>
        </w:rPr>
      </w:pPr>
      <w:r>
        <w:rPr>
          <w:i/>
          <w:szCs w:val="24"/>
        </w:rPr>
        <w:t>Типом самой организации:</w:t>
      </w:r>
    </w:p>
    <w:p>
      <w:pPr>
        <w:pStyle w:val="29"/>
        <w:numPr>
          <w:ilvl w:val="1"/>
          <w:numId w:val="24"/>
        </w:numPr>
        <w:spacing w:lineRule="auto" w:line="360"/>
        <w:ind w:left="0" w:firstLine="709"/>
        <w:rPr>
          <w:szCs w:val="24"/>
        </w:rPr>
      </w:pPr>
      <w:r>
        <w:rPr>
          <w:szCs w:val="24"/>
        </w:rPr>
        <w:t>Общеобразовательные (школы),</w:t>
      </w:r>
    </w:p>
    <w:p>
      <w:pPr>
        <w:pStyle w:val="29"/>
        <w:numPr>
          <w:ilvl w:val="1"/>
          <w:numId w:val="24"/>
        </w:numPr>
        <w:spacing w:lineRule="auto" w:line="360"/>
        <w:ind w:left="0" w:firstLine="709"/>
        <w:rPr>
          <w:szCs w:val="24"/>
        </w:rPr>
      </w:pPr>
      <w:r>
        <w:rPr>
          <w:szCs w:val="24"/>
        </w:rPr>
        <w:t>Организации дополнительного образования детей,</w:t>
      </w:r>
    </w:p>
    <w:p>
      <w:pPr>
        <w:pStyle w:val="29"/>
        <w:numPr>
          <w:ilvl w:val="1"/>
          <w:numId w:val="24"/>
        </w:numPr>
        <w:spacing w:lineRule="auto" w:line="360"/>
        <w:ind w:left="0" w:firstLine="709"/>
        <w:rPr>
          <w:szCs w:val="24"/>
        </w:rPr>
      </w:pPr>
      <w:r>
        <w:rPr>
          <w:szCs w:val="24"/>
        </w:rPr>
        <w:t>Организации профессионального образования,</w:t>
      </w:r>
    </w:p>
    <w:p>
      <w:pPr>
        <w:pStyle w:val="29"/>
        <w:numPr>
          <w:ilvl w:val="1"/>
          <w:numId w:val="24"/>
        </w:numPr>
        <w:spacing w:lineRule="auto" w:line="360"/>
        <w:ind w:left="0" w:firstLine="709"/>
        <w:rPr>
          <w:szCs w:val="24"/>
        </w:rPr>
      </w:pPr>
      <w:r>
        <w:rPr>
          <w:szCs w:val="24"/>
        </w:rPr>
        <w:t>Необразовательные (музеи, библиотеки и др.).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грантовой и субсидийной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Ставка на развитие новых мест дополнительного образования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специализированным оборудованием (инвентарем), информационно-методическими материалами и кадрами.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Не образовательные организации могут в этом контексте стать примерами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</w:r>
    </w:p>
    <w:p>
      <w:pPr>
        <w:pStyle w:val="17"/>
        <w:spacing w:lineRule="auto" w:line="360" w:before="0" w:after="0"/>
        <w:ind w:firstLine="70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5 Этап. Определение модели ресурсного обеспечения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1) </w:t>
      </w:r>
      <w:r>
        <w:rPr>
          <w:rFonts w:cs="Times New Roman" w:ascii="Times New Roman" w:hAnsi="Times New Roman"/>
          <w:i/>
        </w:rPr>
        <w:t>Инфраструктурное обеспечение</w:t>
      </w:r>
    </w:p>
    <w:p>
      <w:pPr>
        <w:pStyle w:val="29"/>
        <w:spacing w:lineRule="auto" w:line="360"/>
        <w:rPr>
          <w:szCs w:val="24"/>
        </w:rPr>
      </w:pPr>
      <w:r>
        <w:rPr>
          <w:szCs w:val="24"/>
        </w:rPr>
        <w:t>Как было показано ранее оценка имеющихся, требуемых и доступных ресурсов для реализации типовой модели естественнонаучной направленности дополнительного образования является важной частью самообследования, анализа и выбора вариантов моделей (рисунок 6).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 этом само инфраструктурное обеспечения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Выбор </w:t>
      </w:r>
      <w:r>
        <w:rPr>
          <w:rFonts w:cs="Times New Roman" w:ascii="Times New Roman" w:hAnsi="Times New Roman"/>
          <w:u w:val="single"/>
        </w:rPr>
        <w:t>модели под имеющиеся ресурсы</w:t>
      </w:r>
      <w:r>
        <w:rPr>
          <w:rFonts w:cs="Times New Roman" w:ascii="Times New Roman" w:hAnsi="Times New Roman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Выбор идеальной модели под имеющиеся потребности с последующим поиском вариантов и механизмов для </w:t>
      </w:r>
      <w:r>
        <w:rPr>
          <w:rFonts w:cs="Times New Roman" w:ascii="Times New Roman" w:hAnsi="Times New Roman"/>
          <w:u w:val="single"/>
        </w:rPr>
        <w:t>формирование необходимой инфраструктурной базы</w:t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1) </w:t>
      </w:r>
      <w:r>
        <w:rPr>
          <w:rFonts w:cs="Times New Roman" w:ascii="Times New Roman" w:hAnsi="Times New Roman"/>
          <w:i/>
        </w:rPr>
        <w:t>Кадровое обеспечение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Кадры – это особый ресурс.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самообследования целесообразно провести анализ по следующим показателям:</w:t>
      </w:r>
    </w:p>
    <w:p>
      <w:pPr>
        <w:pStyle w:val="ListParagraph"/>
        <w:numPr>
          <w:ilvl w:val="0"/>
          <w:numId w:val="21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наличие и достаточность кадров для реализации всех необходимых программ ДОД;</w:t>
      </w:r>
    </w:p>
    <w:p>
      <w:pPr>
        <w:pStyle w:val="ListParagraph"/>
        <w:numPr>
          <w:ilvl w:val="0"/>
          <w:numId w:val="21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количество и квалификационные характеристики (специализация, образование, опыт работы и т.д.) существующих вакансий (дефицита кадров);</w:t>
      </w:r>
    </w:p>
    <w:p>
      <w:pPr>
        <w:pStyle w:val="ListParagraph"/>
        <w:numPr>
          <w:ilvl w:val="0"/>
          <w:numId w:val="21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квалификационные (специализация, образование, опыт работы, квалификация и т.д.) и половозрастные характеристики имеющихся кадров;</w:t>
      </w:r>
    </w:p>
    <w:p>
      <w:pPr>
        <w:pStyle w:val="ListParagraph"/>
        <w:numPr>
          <w:ilvl w:val="0"/>
          <w:numId w:val="21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потребительская 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программы.</w:t>
      </w:r>
    </w:p>
    <w:p>
      <w:pPr>
        <w:pStyle w:val="Normal"/>
        <w:spacing w:lineRule="auto" w:line="276"/>
        <w:jc w:val="center"/>
        <w:rPr>
          <w:rFonts w:ascii="Times New Roman" w:hAnsi="Times New Roman" w:cs="Times New Roman"/>
          <w:i/>
          <w:i/>
        </w:rPr>
      </w:pPr>
      <w:r>
        <w:rPr/>
        <w:object>
          <v:shape id="ole_rId14" style="width:358.35pt;height:322.35pt" o:ole="">
            <v:imagedata r:id="rId15" o:title=""/>
          </v:shape>
          <o:OLEObject Type="Embed" ProgID="Visio.Drawing.15" ShapeID="ole_rId14" DrawAspect="Content" ObjectID="_1378400876" r:id="rId14"/>
        </w:objec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Cs w:val="22"/>
        </w:rPr>
      </w:pPr>
      <w:r>
        <w:rPr>
          <w:rFonts w:cs="Times New Roman" w:ascii="Times New Roman" w:hAnsi="Times New Roman"/>
          <w:szCs w:val="22"/>
        </w:rPr>
        <w:t>Рисунок 6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>
      <w:pPr>
        <w:pStyle w:val="Normal"/>
        <w:spacing w:lineRule="auto" w:line="360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cstheme="majorBidi" w:ascii="Times New Roman" w:hAnsi="Times New Roman"/>
        </w:rPr>
      </w:r>
    </w:p>
    <w:p>
      <w:pPr>
        <w:pStyle w:val="Normal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cstheme="majorBidi" w:ascii="Times New Roman" w:hAnsi="Times New Roman"/>
          <w:b/>
          <w:bCs/>
        </w:rPr>
      </w:r>
      <w:r>
        <w:br w:type="page"/>
      </w:r>
    </w:p>
    <w:p>
      <w:pPr>
        <w:pStyle w:val="Normal"/>
        <w:spacing w:lineRule="auto" w:line="360"/>
        <w:jc w:val="right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Приложение 5</w:t>
      </w:r>
    </w:p>
    <w:p>
      <w:pPr>
        <w:pStyle w:val="Normal"/>
        <w:rPr>
          <w:rFonts w:ascii="Times New Roman" w:hAnsi="Times New Roman" w:eastAsia="Calibri" w:cs="Times New Roman"/>
          <w:b/>
          <w:b/>
        </w:rPr>
      </w:pPr>
      <w:r>
        <w:rPr>
          <w:rFonts w:eastAsia="Calibri" w:cs="Times New Roman" w:ascii="Times New Roman" w:hAnsi="Times New Roman"/>
          <w:b/>
        </w:rPr>
      </w:r>
    </w:p>
    <w:tbl>
      <w:tblPr>
        <w:tblW w:w="9339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9339"/>
      </w:tblGrid>
      <w:tr>
        <w:trPr/>
        <w:tc>
          <w:tcPr>
            <w:tcW w:w="9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 w:asciiTheme="majorBidi" w:cstheme="majorBidi" w:hAnsiTheme="majorBidi"/>
                <w:cap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caps/>
              </w:rPr>
              <w:t>Наименование органа управления образованием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 w:asciiTheme="majorBidi" w:cstheme="majorBidi" w:hAnsiTheme="majorBidi"/>
                <w:b/>
                <w:b/>
                <w:cap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caps/>
              </w:rPr>
              <w:t xml:space="preserve">Полное название образовательной организации, 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 w:asciiTheme="majorBidi" w:cstheme="majorBidi" w:hAnsiTheme="majorBidi"/>
                <w:b/>
                <w:b/>
                <w:caps/>
              </w:rPr>
            </w:pPr>
            <w:r>
              <w:rPr>
                <w:rFonts w:eastAsia="Calibri" w:cs="Times New Roman" w:ascii="Times New Roman" w:hAnsi="Times New Roman" w:asciiTheme="majorBidi" w:cstheme="majorBidi" w:hAnsi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 w:asciiTheme="majorBidi" w:cstheme="majorBidi" w:hAnsiTheme="majorBidi"/>
              </w:rPr>
            </w:pPr>
            <w:r>
              <w:rPr>
                <w:rFonts w:eastAsia="Calibri" w:cs="Times New Roman" w:cstheme="majorBidi" w:ascii="Times New Roman" w:hAnsi="Times New Roman"/>
              </w:rPr>
            </w:r>
          </w:p>
          <w:tbl>
            <w:tblPr>
              <w:tblStyle w:val="ae"/>
              <w:tblW w:w="14010" w:type="dxa"/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VBand="1" w:noHBand="0" w:lastColumn="0" w:firstColumn="1" w:lastRow="0" w:firstRow="1"/>
            </w:tblPr>
            <w:tblGrid>
              <w:gridCol w:w="4670"/>
              <w:gridCol w:w="4670"/>
              <w:gridCol w:w="4670"/>
            </w:tblGrid>
            <w:tr>
              <w:trPr/>
              <w:tc>
                <w:tcPr>
                  <w:tcW w:w="4670" w:type="dxa"/>
                  <w:tc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cBorders>
                  <w:shd w:fill="auto" w:val="clear"/>
                </w:tcPr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Times New Roman" w:cs="Times New Roman" w:asciiTheme="majorBidi" w:cstheme="majorBidi" w:hAnsiTheme="majorBidi"/>
                      <w:lang w:eastAsia="en-US"/>
                    </w:rPr>
                  </w:pPr>
                  <w:r>
                    <w:rPr>
                      <w:rFonts w:eastAsia="Times New Roman" w:cs="Times New Roman" w:cstheme="majorBidi" w:ascii="Times New Roman" w:hAnsi="Times New Roman"/>
                      <w:lang w:eastAsia="en-US"/>
                    </w:rPr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 xml:space="preserve">Принята на заседании 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>Педагогического совета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jc w:val="both"/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 xml:space="preserve">Протокол № ____ 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Calibri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  <w:tc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cBorders>
                  <w:shd w:fill="auto" w:val="clear"/>
                </w:tcPr>
                <w:p>
                  <w:pPr>
                    <w:pStyle w:val="Normal"/>
                    <w:tabs>
                      <w:tab w:val="left" w:pos="851" w:leader="none"/>
                    </w:tabs>
                    <w:jc w:val="right"/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>«Утверждаю»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jc w:val="right"/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 xml:space="preserve">Руководитель 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jc w:val="right"/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>образовательной организации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jc w:val="right"/>
                    <w:rPr>
                      <w:rFonts w:ascii="Times New Roman" w:hAnsi="Times New Roman" w:eastAsia="Times New Roman" w:cs="Times New Roman" w:asciiTheme="majorBidi" w:cstheme="majorBidi" w:hAnsiTheme="majorBidi"/>
                      <w:lang w:eastAsia="en-US"/>
                    </w:rPr>
                  </w:pPr>
                  <w:r>
                    <w:rPr>
                      <w:rFonts w:eastAsia="Times New Roman" w:cs="Times New Roman" w:cstheme="majorBidi" w:ascii="Times New Roman" w:hAnsi="Times New Roman"/>
                      <w:lang w:eastAsia="en-US"/>
                    </w:rPr>
                    <mc:AlternateContent>
                      <mc:Choice Requires="wps">
                        <w:drawing>
                          <wp:anchor behindDoc="0" distT="0" distB="0" distL="114300" distR="114300" simplePos="0" locked="0" layoutInCell="1" allowOverlap="1" relativeHeight="2" wp14:anchorId="2426A166">
                            <wp:simplePos x="0" y="0"/>
                            <wp:positionH relativeFrom="column">
                              <wp:posOffset>869315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915035" cy="915035"/>
                            <wp:effectExtent l="0" t="0" r="0" b="0"/>
                            <wp:wrapNone/>
                            <wp:docPr id="3" name="Дуга 54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rect l="l" t="t" r="r" b="b"/>
                                      <a:pathLst>
                                        <a:path w="914400" h="914400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  <a:lnTo>
                                            <a:pt x="457200" y="457200"/>
                                          </a:lnTo>
                                          <a:lnTo>
                                            <a:pt x="914250" y="468919"/>
                                          </a:lnTo>
                                          <a:close/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360">
                                      <a:solidFill>
                                        <a:srgbClr val="4a7ebb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/>
                      </mc:Fallback>
                    </mc:AlternateConten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jc w:val="right"/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 xml:space="preserve">___________ ФИО 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Times New Roman" w:cs="Times New Roman" w:asciiTheme="majorBidi" w:cstheme="majorBidi" w:hAnsiTheme="majorBidi"/>
                      <w:color w:val="7F7F7F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color w:val="7F7F7F"/>
                      <w:lang w:eastAsia="en-US"/>
                    </w:rPr>
                    <w:t>печать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 xml:space="preserve">      </w:t>
                  </w: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>Приказ № ____ от</w:t>
                  </w:r>
                </w:p>
                <w:p>
                  <w:pPr>
                    <w:pStyle w:val="Normal"/>
                    <w:tabs>
                      <w:tab w:val="left" w:pos="851" w:leader="none"/>
                    </w:tabs>
                    <w:jc w:val="right"/>
                    <w:rPr>
                      <w:rFonts w:ascii="Times New Roman" w:hAnsi="Times New Roman" w:eastAsia="Times New Roman" w:cs="Times New Roman" w:asciiTheme="majorBidi" w:cstheme="majorBidi" w:hAnsiTheme="majorBidi"/>
                    </w:rPr>
                  </w:pPr>
                  <w:r>
                    <w:rPr>
                      <w:rFonts w:eastAsia="Times New Roman" w:cs="Times New Roman" w:ascii="Times New Roman" w:hAnsi="Times New Roman" w:asciiTheme="majorBidi" w:cstheme="majorBidi" w:hAnsiTheme="majorBidi"/>
                      <w:lang w:eastAsia="en-US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  <w:tcBorders>
                    <w:top w:val="nil"/>
                    <w:left w:val="nil"/>
                    <w:bottom w:val="nil"/>
                    <w:right w:val="nil"/>
                    <w:insideH w:val="nil"/>
                    <w:insideV w:val="nil"/>
                  </w:tcBorders>
                  <w:shd w:fill="auto" w:val="clear"/>
                </w:tcPr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Calibri" w:cs="Times New Roman" w:eastAsiaTheme="minorHAnsi"/>
                      <w:lang w:eastAsia="en-US"/>
                    </w:rPr>
                  </w:pPr>
                  <w:r>
                    <w:rPr>
                      <w:rFonts w:eastAsia="Calibri" w:cs="Times New Roman" w:eastAsiaTheme="minorHAnsi" w:ascii="Times New Roman" w:hAnsi="Times New Roman"/>
                      <w:lang w:eastAsia="en-US"/>
                    </w:rPr>
                  </w:r>
                </w:p>
              </w:tc>
            </w:tr>
          </w:tbl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tbl>
            <w:tblPr>
              <w:tblW w:w="4651" w:type="dxa"/>
              <w:jc w:val="left"/>
              <w:tblInd w:w="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VBand="1" w:noHBand="0" w:lastColumn="0" w:firstColumn="1" w:lastRow="0" w:firstRow="1"/>
            </w:tblPr>
            <w:tblGrid>
              <w:gridCol w:w="4651"/>
            </w:tblGrid>
            <w:tr>
              <w:trPr/>
              <w:tc>
                <w:tcPr>
                  <w:tcW w:w="4651" w:type="dxa"/>
                  <w:tcBorders/>
                  <w:shd w:fill="auto" w:val="clear"/>
                </w:tcPr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eastAsia="Times New Roman" w:cs="Times New Roman" w:ascii="Times New Roman" w:hAnsi="Times New Roman"/>
                    </w:rPr>
                  </w:r>
                </w:p>
              </w:tc>
            </w:tr>
            <w:tr>
              <w:trPr/>
              <w:tc>
                <w:tcPr>
                  <w:tcW w:w="4651" w:type="dxa"/>
                  <w:tcBorders/>
                  <w:shd w:fill="auto" w:val="clear"/>
                </w:tcPr>
                <w:p>
                  <w:pPr>
                    <w:pStyle w:val="Normal"/>
                    <w:tabs>
                      <w:tab w:val="left" w:pos="851" w:leader="none"/>
                    </w:tabs>
                    <w:rPr>
                      <w:rFonts w:ascii="Times New Roman" w:hAnsi="Times New Roman" w:eastAsia="Times New Roman" w:cs="Times New Roman"/>
                    </w:rPr>
                  </w:pPr>
                  <w:r>
                    <w:rPr>
                      <w:rFonts w:eastAsia="Times New Roman" w:cs="Times New Roman" w:ascii="Times New Roman" w:hAnsi="Times New Roman"/>
                    </w:rPr>
                  </w:r>
                </w:p>
              </w:tc>
            </w:tr>
          </w:tbl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  <w:b/>
                <w:b/>
              </w:rPr>
            </w:pPr>
            <w:r>
              <w:rPr>
                <w:rFonts w:eastAsia="Calibri" w:cs="Times New Roman" w:ascii="Times New Roman" w:hAnsi="Times New Roman"/>
                <w:b/>
              </w:rPr>
              <w:t>ДОПОЛНИТЕЛЬНАЯ ОБЩЕРАЗВИВАЮЩАЯ ПРОГРАММА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  <w:b/>
                <w:b/>
              </w:rPr>
            </w:pPr>
            <w:r>
              <w:rPr>
                <w:rFonts w:eastAsia="Calibri" w:cs="Times New Roman" w:ascii="Times New Roman" w:hAnsi="Times New Roman"/>
                <w:b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  <w:b/>
                <w:b/>
              </w:rPr>
            </w:pPr>
            <w:r>
              <w:rPr>
                <w:rFonts w:eastAsia="Courier New" w:cs="Times New Roman" w:ascii="Times New Roman" w:hAnsi="Times New Roman"/>
                <w:b/>
                <w:bCs/>
                <w:color w:val="000000"/>
                <w:lang w:eastAsia="ru-RU" w:bidi="ru-RU"/>
              </w:rPr>
              <w:t>«Нелинейный мир»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  <w:i/>
                <w:i/>
              </w:rPr>
            </w:pPr>
            <w:r>
              <w:rPr>
                <w:rFonts w:eastAsia="Calibri" w:cs="Times New Roman" w:ascii="Times New Roman" w:hAnsi="Times New Roman"/>
                <w:i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/>
                <w:i/>
              </w:rPr>
              <w:t>Направленность</w:t>
            </w:r>
            <w:r>
              <w:rPr>
                <w:rFonts w:eastAsia="Calibri" w:cs="Times New Roman" w:ascii="Times New Roman" w:hAnsi="Times New Roman"/>
              </w:rPr>
              <w:t>: естественнонаучная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  <w:i/>
                <w:i/>
              </w:rPr>
            </w:pPr>
            <w:r>
              <w:rPr>
                <w:rFonts w:eastAsia="Calibri" w:cs="Times New Roman" w:ascii="Times New Roman" w:hAnsi="Times New Roman"/>
                <w:b/>
                <w:i/>
              </w:rPr>
              <w:t>Уровень</w:t>
            </w:r>
            <w:r>
              <w:rPr>
                <w:rFonts w:eastAsia="Calibri" w:cs="Times New Roman" w:ascii="Times New Roman" w:hAnsi="Times New Roman"/>
                <w:b/>
              </w:rPr>
              <w:t>:</w:t>
            </w:r>
            <w:r>
              <w:rPr>
                <w:rFonts w:eastAsia="Calibri" w:cs="Times New Roman" w:ascii="Times New Roman" w:hAnsi="Times New Roman"/>
              </w:rPr>
              <w:t xml:space="preserve"> продвинутый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/>
                <w:i/>
              </w:rPr>
              <w:t>Возраст учащихся</w:t>
            </w:r>
            <w:r>
              <w:rPr>
                <w:rFonts w:eastAsia="Calibri" w:cs="Times New Roman" w:ascii="Times New Roman" w:hAnsi="Times New Roman"/>
              </w:rPr>
              <w:t>: 13-18 лет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/>
                <w:i/>
              </w:rPr>
              <w:t>Срок реализации</w:t>
            </w:r>
            <w:r>
              <w:rPr>
                <w:rFonts w:eastAsia="Calibri" w:cs="Times New Roman" w:ascii="Times New Roman" w:hAnsi="Times New Roman"/>
              </w:rPr>
              <w:t>: 1 год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right"/>
              <w:rPr>
                <w:rFonts w:ascii="Times New Roman" w:hAnsi="Times New Roman" w:eastAsia="Calibri" w:cs="Times New Roman"/>
                <w:b/>
                <w:b/>
                <w:i/>
                <w:i/>
              </w:rPr>
            </w:pPr>
            <w:r>
              <w:rPr>
                <w:rFonts w:eastAsia="Calibri" w:cs="Times New Roman" w:ascii="Times New Roman" w:hAnsi="Times New Roman"/>
                <w:b/>
                <w:i/>
              </w:rPr>
            </w:r>
          </w:p>
          <w:p>
            <w:pPr>
              <w:pStyle w:val="Normal"/>
              <w:ind w:left="5040" w:hanging="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  <w:bCs/>
                <w:color w:val="000000"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bCs/>
                <w:color w:val="000000"/>
              </w:rPr>
              <w:t xml:space="preserve">Авторы-составители: 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</w:rPr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eastAsia="Calibri" w:cs="Times New Roman" w:ascii="Times New Roman" w:hAnsi="Times New Roman"/>
                <w:b/>
              </w:rPr>
              <w:t xml:space="preserve">Город, </w:t>
            </w:r>
            <w:r>
              <w:rPr>
                <w:rFonts w:eastAsia="Calibri" w:cs="Times New Roman" w:ascii="Times New Roman" w:hAnsi="Times New Roman"/>
              </w:rPr>
              <w:t>год</w:t>
            </w:r>
          </w:p>
          <w:p>
            <w:pPr>
              <w:pStyle w:val="Normal"/>
              <w:tabs>
                <w:tab w:val="left" w:pos="851" w:leader="none"/>
              </w:tabs>
              <w:jc w:val="center"/>
              <w:rPr>
                <w:rFonts w:ascii="Times New Roman" w:hAnsi="Times New Roman" w:eastAsia="Calibri" w:cs="Times New Roman"/>
                <w:caps/>
              </w:rPr>
            </w:pPr>
            <w:r>
              <w:rPr>
                <w:rFonts w:eastAsia="Calibri" w:cs="Times New Roman" w:ascii="Times New Roman" w:hAnsi="Times New Roman"/>
                <w:caps/>
              </w:rPr>
            </w:r>
          </w:p>
        </w:tc>
      </w:tr>
    </w:tbl>
    <w:p>
      <w:pPr>
        <w:pStyle w:val="Normal"/>
        <w:ind w:left="5040" w:hanging="0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cstheme="majorBidi" w:ascii="Times New Roman" w:hAnsi="Times New Roman"/>
          <w:color w:val="000000"/>
        </w:rPr>
      </w:r>
    </w:p>
    <w:p>
      <w:pPr>
        <w:pStyle w:val="Normal"/>
        <w:jc w:val="both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jc w:val="both"/>
        <w:rPr>
          <w:b/>
          <w:b/>
          <w:szCs w:val="28"/>
        </w:rPr>
      </w:pPr>
      <w:r>
        <w:rPr>
          <w:b/>
          <w:szCs w:val="28"/>
        </w:rPr>
      </w:r>
      <w:r>
        <w:br w:type="page"/>
      </w:r>
    </w:p>
    <w:p>
      <w:pPr>
        <w:pStyle w:val="Normal"/>
        <w:spacing w:lineRule="auto" w:line="360"/>
        <w:jc w:val="center"/>
        <w:rPr>
          <w:rFonts w:ascii="Times New Roman" w:hAnsi="Times New Roman" w:eastAsia="Times New Roman" w:cs="Times New Roman"/>
          <w:b/>
          <w:b/>
          <w:color w:val="000000"/>
          <w:spacing w:val="-2"/>
        </w:rPr>
      </w:pPr>
      <w:r>
        <w:rPr>
          <w:rFonts w:eastAsia="Times New Roman" w:cs="Times New Roman" w:ascii="Times New Roman" w:hAnsi="Times New Roman"/>
          <w:b/>
          <w:color w:val="000000"/>
          <w:spacing w:val="-2"/>
        </w:rPr>
        <w:t>Содержание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b/>
          <w:b/>
          <w:color w:val="000000"/>
          <w:spacing w:val="-2"/>
        </w:rPr>
      </w:pPr>
      <w:r>
        <w:rPr>
          <w:rFonts w:eastAsia="Times New Roman" w:cs="Times New Roman" w:ascii="Times New Roman" w:hAnsi="Times New Roman"/>
          <w:b/>
          <w:color w:val="000000"/>
          <w:spacing w:val="-2"/>
        </w:rPr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b/>
          <w:b/>
          <w:color w:val="000000"/>
          <w:spacing w:val="-2"/>
        </w:rPr>
      </w:pPr>
      <w:r>
        <w:rPr>
          <w:rFonts w:eastAsia="Times New Roman" w:cs="Times New Roman" w:ascii="Times New Roman" w:hAnsi="Times New Roman"/>
          <w:b/>
          <w:color w:val="000000"/>
          <w:spacing w:val="-2"/>
        </w:rPr>
        <w:t xml:space="preserve">Раздел 1. Комплекс основных характеристик образования. 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  <w:spacing w:val="-2"/>
        </w:rPr>
      </w:pPr>
      <w:r>
        <w:rPr>
          <w:rFonts w:eastAsia="Times New Roman" w:cs="Times New Roman" w:ascii="Times New Roman" w:hAnsi="Times New Roman"/>
          <w:color w:val="000000"/>
          <w:spacing w:val="-2"/>
        </w:rPr>
        <w:t xml:space="preserve">Пояснительная записка (общая характеристика программы). 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  <w:spacing w:val="-2"/>
        </w:rPr>
      </w:pPr>
      <w:r>
        <w:rPr>
          <w:rFonts w:eastAsia="Times New Roman" w:cs="Times New Roman" w:ascii="Times New Roman" w:hAnsi="Times New Roman"/>
          <w:color w:val="000000"/>
          <w:spacing w:val="-2"/>
        </w:rPr>
        <w:t>Цель и задачи программы.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  <w:spacing w:val="-2"/>
        </w:rPr>
      </w:pPr>
      <w:r>
        <w:rPr>
          <w:rFonts w:eastAsia="Times New Roman" w:cs="Times New Roman" w:ascii="Times New Roman" w:hAnsi="Times New Roman"/>
          <w:color w:val="000000"/>
          <w:spacing w:val="-2"/>
        </w:rPr>
        <w:t xml:space="preserve">Содержание программы: учебный план, содержание учебного плана. 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  <w:spacing w:val="-2"/>
        </w:rPr>
      </w:pPr>
      <w:r>
        <w:rPr>
          <w:rFonts w:eastAsia="Times New Roman" w:cs="Times New Roman" w:ascii="Times New Roman" w:hAnsi="Times New Roman"/>
          <w:color w:val="000000"/>
          <w:spacing w:val="-2"/>
        </w:rPr>
        <w:t>Планируемые результаты.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b/>
          <w:b/>
          <w:color w:val="000000"/>
          <w:spacing w:val="-2"/>
        </w:rPr>
      </w:pPr>
      <w:r>
        <w:rPr>
          <w:rFonts w:eastAsia="Times New Roman" w:cs="Times New Roman" w:ascii="Times New Roman" w:hAnsi="Times New Roman"/>
          <w:b/>
          <w:color w:val="000000"/>
          <w:spacing w:val="-2"/>
        </w:rPr>
        <w:t xml:space="preserve">Раздел 2. Комплекс организационно-педагогических условий. 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  <w:spacing w:val="-2"/>
        </w:rPr>
      </w:pPr>
      <w:r>
        <w:rPr>
          <w:rFonts w:eastAsia="Times New Roman" w:cs="Times New Roman" w:ascii="Times New Roman" w:hAnsi="Times New Roman"/>
          <w:color w:val="000000"/>
          <w:spacing w:val="-2"/>
        </w:rPr>
        <w:t>Формы аттестации</w:t>
      </w:r>
    </w:p>
    <w:p>
      <w:pPr>
        <w:pStyle w:val="Normal"/>
        <w:widowControl w:val="false"/>
        <w:shd w:val="clear" w:color="auto" w:fill="FFFFFF"/>
        <w:tabs>
          <w:tab w:val="left" w:pos="993" w:leader="none"/>
        </w:tabs>
        <w:spacing w:lineRule="auto" w:line="360"/>
        <w:jc w:val="both"/>
        <w:rPr>
          <w:rFonts w:ascii="Times New Roman" w:hAnsi="Times New Roman" w:eastAsia="Times New Roman" w:cs="Times New Roman"/>
          <w:color w:val="000000"/>
          <w:spacing w:val="-2"/>
        </w:rPr>
      </w:pPr>
      <w:r>
        <w:rPr>
          <w:rFonts w:eastAsia="Times New Roman" w:cs="Times New Roman" w:ascii="Times New Roman" w:hAnsi="Times New Roman"/>
          <w:color w:val="000000"/>
          <w:spacing w:val="-2"/>
        </w:rPr>
        <w:t>Оценочные материалы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w w:val="101"/>
          <w:lang w:eastAsia="ru-RU"/>
        </w:rPr>
      </w:pPr>
      <w:r>
        <w:rPr>
          <w:rFonts w:eastAsia="Times New Roman" w:cs="Times New Roman" w:ascii="Times New Roman" w:hAnsi="Times New Roman"/>
          <w:w w:val="101"/>
          <w:lang w:eastAsia="ru-RU"/>
        </w:rPr>
        <w:t>Методические материалы.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w w:val="101"/>
          <w:lang w:eastAsia="ru-RU"/>
        </w:rPr>
      </w:pPr>
      <w:r>
        <w:rPr>
          <w:rFonts w:eastAsia="Calibri" w:cs="Times New Roman" w:ascii="Times New Roman" w:hAnsi="Times New Roman"/>
          <w:color w:val="333333"/>
          <w:shd w:fill="FFFFFF" w:val="clear"/>
        </w:rPr>
        <w:t>Условия реализации программы</w:t>
      </w:r>
      <w:r>
        <w:rPr>
          <w:rFonts w:eastAsia="Times New Roman" w:cs="Times New Roman" w:ascii="Times New Roman" w:hAnsi="Times New Roman"/>
          <w:w w:val="101"/>
          <w:lang w:eastAsia="ru-RU"/>
        </w:rPr>
        <w:t>.</w:t>
      </w:r>
    </w:p>
    <w:p>
      <w:pPr>
        <w:pStyle w:val="Normal"/>
        <w:spacing w:lineRule="auto" w:line="360"/>
        <w:jc w:val="both"/>
        <w:rPr>
          <w:rFonts w:ascii="Times New Roman" w:hAnsi="Times New Roman" w:eastAsia="Calibri" w:cs="Times New Roman"/>
          <w:color w:val="333333"/>
          <w:highlight w:val="white"/>
        </w:rPr>
      </w:pPr>
      <w:r>
        <w:rPr>
          <w:rFonts w:eastAsia="Calibri" w:cs="Times New Roman" w:ascii="Times New Roman" w:hAnsi="Times New Roman"/>
          <w:color w:val="333333"/>
          <w:shd w:fill="FFFFFF" w:val="clear"/>
        </w:rPr>
        <w:t>Календарный учебный график</w:t>
      </w:r>
    </w:p>
    <w:p>
      <w:pPr>
        <w:pStyle w:val="Normal"/>
        <w:spacing w:lineRule="auto" w:line="360"/>
        <w:jc w:val="both"/>
        <w:rPr>
          <w:rFonts w:ascii="Times New Roman" w:hAnsi="Times New Roman" w:eastAsia="Calibri" w:cs="Times New Roman"/>
          <w:color w:val="333333"/>
          <w:highlight w:val="white"/>
        </w:rPr>
      </w:pPr>
      <w:r>
        <w:rPr>
          <w:rFonts w:eastAsia="Calibri" w:cs="Times New Roman" w:ascii="Times New Roman" w:hAnsi="Times New Roman"/>
          <w:color w:val="333333"/>
          <w:shd w:fill="FFFFFF" w:val="clear"/>
        </w:rPr>
        <w:t>Список литературы</w:t>
      </w:r>
    </w:p>
    <w:p>
      <w:pPr>
        <w:pStyle w:val="Normal"/>
        <w:spacing w:lineRule="auto" w:line="360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cstheme="majorBidi" w:ascii="Times New Roman" w:hAnsi="Times New Roman"/>
          <w:b/>
        </w:rPr>
      </w:r>
    </w:p>
    <w:p>
      <w:pPr>
        <w:pStyle w:val="Normal"/>
        <w:spacing w:lineRule="auto" w:line="360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cstheme="majorBidi" w:ascii="Times New Roman" w:hAnsi="Times New Roman"/>
          <w:b/>
        </w:rPr>
      </w:r>
      <w:r>
        <w:br w:type="page"/>
      </w:r>
    </w:p>
    <w:p>
      <w:pPr>
        <w:pStyle w:val="Normal"/>
        <w:suppressAutoHyphens w:val="true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>Пояснительная записка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</w:rPr>
        <w:t>Направленность образовательной программы</w:t>
      </w:r>
      <w:r>
        <w:rPr>
          <w:rFonts w:cs="Times New Roman" w:ascii="Times New Roman" w:hAnsi="Times New Roman" w:asciiTheme="majorBidi" w:cstheme="majorBidi" w:hAnsiTheme="majorBidi"/>
        </w:rPr>
        <w:t xml:space="preserve"> дополнительного образования детей "Нелинейный мир" –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  <w:b/>
        </w:rPr>
        <w:t>естественнонаучная.</w:t>
      </w:r>
      <w:r>
        <w:rPr>
          <w:rFonts w:cs="Times New Roman" w:ascii="Times New Roman" w:hAnsi="Times New Roman" w:asciiTheme="majorBidi" w:cstheme="majorBidi" w:hAnsiTheme="majorBidi"/>
        </w:rPr>
        <w:t xml:space="preserve">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1.2. Актуальность программы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Развитие наукоемких технологий во всех областях деятельности современного общества требует от человека не просто новых знаний и умений, но знаний и умений по-новому организованных. Человечеством накоплен огромный объем научно-технической информации. С одной стороны, это приводит к необходимости специализации в освоении и применении имеющегося человеческого опыта, а с другой, дальнейшее развитие всех сторон общества требует объединения усилий специалистов самых разных дисциплин. Прорывные технологии вырастают на стыке самых разных областей человеческой деятельности. Достижения наук о природе, человеке, обществе показывают единство мира. Успешно работающий современный человек, являясь глубоким специалистом в своей области деятельности, должен уметь оценить (подчас критически оценить!) достижения других людей.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Для этого современный человек должен уметь видеть в окружающем мире ведущие процессы, не столько запоминать информацию, сколько уметь структурировать ее в целях практического применения. Это приводит к необходимости в процессе получения образования формировать у детей взгляд на мир как на среду, где протекает одновременно множество взаимно обусловленных и взаимно влияющих процессов, где малое изменение условий может привести к мощному отклику и наоборот. То есть, нужен взгляд на мир как на нелинейную самоорганизующуюся среду.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Современные курсы элементарной физики и других дисциплин для учащихся общеобразовательных учреждений и программы дополнительного образования детей в естественнонаучной области исходят из описания природных явлений на базе линейных моделей. В этих программах недостаточное внимание уделяется внутрипредметным связям, аналогиям (например, оптико-механической, электрогидравлической).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В свете же сказанного возникает необходимость изучать физические явления на моделях, включающих в себя не один механизм процесса, а учитывающих конкурентный характер нескольких механизмов. При этом дети должны не только </w:t>
      </w:r>
      <w:r>
        <w:rPr>
          <w:rFonts w:cs="Times New Roman" w:ascii="Times New Roman" w:hAnsi="Times New Roman" w:asciiTheme="majorBidi" w:cstheme="majorBidi" w:hAnsiTheme="majorBidi"/>
          <w:i/>
        </w:rPr>
        <w:t>освоить</w:t>
      </w:r>
      <w:r>
        <w:rPr>
          <w:rFonts w:cs="Times New Roman" w:ascii="Times New Roman" w:hAnsi="Times New Roman" w:asciiTheme="majorBidi" w:cstheme="majorBidi" w:hAnsiTheme="majorBidi"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  <w:i/>
        </w:rPr>
        <w:t>готовую</w:t>
      </w:r>
      <w:r>
        <w:rPr>
          <w:rFonts w:cs="Times New Roman" w:ascii="Times New Roman" w:hAnsi="Times New Roman" w:asciiTheme="majorBidi" w:cstheme="majorBidi" w:hAnsiTheme="majorBidi"/>
        </w:rPr>
        <w:t xml:space="preserve"> "однозаконную" модель явления, но и уметь </w:t>
      </w:r>
      <w:r>
        <w:rPr>
          <w:rFonts w:cs="Times New Roman" w:ascii="Times New Roman" w:hAnsi="Times New Roman" w:asciiTheme="majorBidi" w:cstheme="majorBidi" w:hAnsiTheme="majorBidi"/>
          <w:i/>
        </w:rPr>
        <w:t>построить</w:t>
      </w:r>
      <w:r>
        <w:rPr>
          <w:rFonts w:cs="Times New Roman" w:ascii="Times New Roman" w:hAnsi="Times New Roman" w:asciiTheme="majorBidi" w:cstheme="majorBidi" w:hAnsiTheme="majorBidi"/>
        </w:rPr>
        <w:t xml:space="preserve"> модель с учетом разных механизмов, "многозаконную", выделяя один или несколько ведущих процессов и пренебрегая несущественными. Такой подход близок к синергетическому подходу, позволяющему изучать явления природы как единое целое с выделением ведущих процессов.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</w:rPr>
        <w:t>Педагогическая целесообразность</w:t>
      </w:r>
      <w:r>
        <w:rPr>
          <w:rFonts w:cs="Times New Roman" w:ascii="Times New Roman" w:hAnsi="Times New Roman" w:asciiTheme="majorBidi" w:cstheme="majorBidi" w:hAnsiTheme="majorBidi"/>
        </w:rPr>
        <w:t xml:space="preserve"> такого подхода заключается в том, что дети получают умение оценивать окружающий их мир как динамически развивающийся, учатся делать выбор между моделями явлений, в конечном счете, приобретают навык синтетического мышления и активного отношения к окружающему миру, в том числе, к получаемой информации.</w:t>
      </w:r>
    </w:p>
    <w:p>
      <w:pPr>
        <w:pStyle w:val="Normal"/>
        <w:spacing w:lineRule="auto" w:line="360"/>
        <w:ind w:firstLine="652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1.3. Цель программы – </w:t>
      </w:r>
      <w:r>
        <w:rPr>
          <w:rFonts w:cs="Times New Roman" w:ascii="Times New Roman" w:hAnsi="Times New Roman" w:asciiTheme="majorBidi" w:cstheme="majorBidi" w:hAnsiTheme="majorBidi"/>
        </w:rPr>
        <w:t xml:space="preserve">подготовка обучающихся к парадоксальным ситуациям в окружающем мире через формирование у них интеллектуальной и операционной готовности к производственному и бытовому применению фундаментальных знаний о природе.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1.4. Задачи программы: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- ознакомить детей с основами современной картины мира;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- дать детям в элементарном, но логически связном изложении знания общих физических принципов, лежащих в основе современной картины мира;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- формировать у детей основные умения, необходимые для теоретического анализа и экспериментального исследования реальных процессов в природе;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- дать детям понимание того, что неожиданные задачи при правильном на них реагировании решаются самыми обычными методами;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- формировать у детей потребность в критическом оценивании полученных результатов;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- обеспечить профессиональную ориентацию детей, проявивших интерес к естественным и техническим наукам;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- воспитать у детей самостоятельность в выборе задач для исследования, путей их решения;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- воспитать у детей умение видеть красоту, гармонию окружающего мира через знание и понимание симметрии и асимметрии законов природы.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1.5. Отличительные особенности программы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Программа является модифицированной программой Кравцова А.В., победителя конкурса программно-методических разработок (г.Москва).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Отличительными особенностями 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>данной программы от указанного курса являются:</w:t>
      </w:r>
    </w:p>
    <w:p>
      <w:pPr>
        <w:pStyle w:val="Normal"/>
        <w:numPr>
          <w:ilvl w:val="0"/>
          <w:numId w:val="5"/>
        </w:numPr>
        <w:tabs>
          <w:tab w:val="left" w:pos="960" w:leader="none"/>
        </w:tabs>
        <w:spacing w:lineRule="auto" w:line="360"/>
        <w:ind w:left="0" w:firstLine="720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>ее направленность на изучение нелинейных моделей самых различных явлений, как необычных, так и кажущихся очевидными, встречающихся в быту и природе, в непосредственном окружении человека. Например, изучение процесса сопротивления движению влажной тряпки при мойке пола в помещении и феномена “шепчущей галереи”.</w:t>
      </w:r>
    </w:p>
    <w:p>
      <w:pPr>
        <w:pStyle w:val="Normal"/>
        <w:numPr>
          <w:ilvl w:val="0"/>
          <w:numId w:val="5"/>
        </w:numPr>
        <w:tabs>
          <w:tab w:val="left" w:pos="960" w:leader="none"/>
        </w:tabs>
        <w:spacing w:lineRule="auto" w:line="360"/>
        <w:ind w:left="0" w:firstLine="720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>наличие блока авторских заданий, разработанных для проведения физических боев и турниров;</w:t>
      </w:r>
    </w:p>
    <w:p>
      <w:pPr>
        <w:pStyle w:val="Normal"/>
        <w:numPr>
          <w:ilvl w:val="0"/>
          <w:numId w:val="5"/>
        </w:numPr>
        <w:tabs>
          <w:tab w:val="left" w:pos="960" w:leader="none"/>
        </w:tabs>
        <w:spacing w:lineRule="auto" w:line="360"/>
        <w:ind w:left="0" w:firstLine="720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>главным приемом освоения слушателями программы является "погружение" в мир природных взаимосвязей через сочетание аудиторных и самостоятельных форм работы;</w:t>
      </w:r>
    </w:p>
    <w:p>
      <w:pPr>
        <w:pStyle w:val="Normal"/>
        <w:numPr>
          <w:ilvl w:val="0"/>
          <w:numId w:val="5"/>
        </w:numPr>
        <w:tabs>
          <w:tab w:val="left" w:pos="960" w:leader="none"/>
        </w:tabs>
        <w:spacing w:lineRule="auto" w:line="360"/>
        <w:ind w:left="0" w:firstLine="720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>возможность для слушателей участвовать в исследованиях новых явлений и новых сторон известных явлений;</w:t>
      </w:r>
    </w:p>
    <w:p>
      <w:pPr>
        <w:pStyle w:val="Normal"/>
        <w:numPr>
          <w:ilvl w:val="0"/>
          <w:numId w:val="5"/>
        </w:numPr>
        <w:tabs>
          <w:tab w:val="left" w:pos="960" w:leader="none"/>
        </w:tabs>
        <w:spacing w:lineRule="auto" w:line="360" w:before="0" w:after="120"/>
        <w:ind w:left="0" w:firstLine="720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>связь с научными работниками, ведущими исследования в научных организациях</w:t>
      </w:r>
    </w:p>
    <w:p>
      <w:pPr>
        <w:pStyle w:val="Normal"/>
        <w:keepNext w:val="true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b/>
          <w:i/>
          <w:color w:val="000000"/>
        </w:rPr>
        <w:t>1.6. Принципы реализации программы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Реализация программы основывается на нескольких идеях, на которых, по представлению автора, должны основываться принципы </w:t>
      </w:r>
      <w:r>
        <w:rPr>
          <w:rFonts w:cs="Times New Roman" w:ascii="Times New Roman" w:hAnsi="Times New Roman" w:asciiTheme="majorBidi" w:cstheme="majorBidi" w:hAnsiTheme="majorBidi"/>
        </w:rPr>
        <w:t>организации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учебно-воспитательного процесса.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>Идея гуманистического подхода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предусматривает отношение педагога к обучающемуся как к младшему товарищу, который будет его сменой.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>Идея индивидуального подхода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вытекает из учета личностных особенностей, в том числе, в области выбора ребенком характера работы в объединении.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 xml:space="preserve">Идея творческого саморазвития 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>реализуется через побуждение всех детей к самостоятельным исследованиям, самовоспитанию и самосовершенствованию.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>Идея практической направленности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осуществляется через сочетание теоретической и экспериментальной работы, участии в олимпиадах, турнирах и конкурсах, экспедиционных исследованиях в походных условиях;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>Идея коллективизма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опирается на совместную работу групп детей по решению экспериментальных задач, коллективное обсуждение теоретических вопросов и коллективный разбор результатов выступлений в различных мероприятиях.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>Реализация программы осуществляется на основе следующих принципов: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- </w:t>
      </w: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 xml:space="preserve">принцип научности, 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>направленный на получение достоверной информации о современном состоянии естественнонаучных знаний и критику необоснованных гипотез;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- </w:t>
      </w: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 xml:space="preserve">принцип систематичности и последовательности, 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>требующий логической последовательности в изложении материала;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- </w:t>
      </w: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>принцип доступности,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заключается в необходимой простоте изложения материала;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- </w:t>
      </w: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>принцип преодоления трудностей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предусматривает, что обучающее задание не должно быть слишком простым;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- </w:t>
      </w:r>
      <w:r>
        <w:rPr>
          <w:rFonts w:cs="Times New Roman" w:ascii="Times New Roman" w:hAnsi="Times New Roman" w:asciiTheme="majorBidi" w:cstheme="majorBidi" w:hAnsiTheme="majorBidi"/>
          <w:i/>
          <w:color w:val="000000"/>
        </w:rPr>
        <w:t>принцип сознательности и активности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 основан на свободном выборе ребенка направления своей работы.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b/>
          <w:i/>
          <w:color w:val="000000"/>
        </w:rPr>
        <w:t>1.7. Сроки реализации программы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Программа реализуется в течение одного учебного года. </w:t>
      </w:r>
    </w:p>
    <w:p>
      <w:pPr>
        <w:pStyle w:val="Normal"/>
        <w:keepNext w:val="true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1.8. Форма обучения и режим занятий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color w:val="000000"/>
        </w:rPr>
      </w:pPr>
      <w:r>
        <w:rPr>
          <w:rFonts w:cs="Times New Roman" w:ascii="Times New Roman" w:hAnsi="Times New Roman" w:asciiTheme="majorBidi" w:cstheme="majorBidi" w:hAnsiTheme="majorBidi"/>
          <w:color w:val="000000"/>
        </w:rPr>
        <w:t xml:space="preserve">В работе объединения дополнительного образования “Нелинейный мир” принимают участие дети </w:t>
      </w:r>
      <w:r>
        <w:rPr>
          <w:rFonts w:cs="Times New Roman" w:ascii="Times New Roman" w:hAnsi="Times New Roman" w:asciiTheme="majorBidi" w:cstheme="majorBidi" w:hAnsiTheme="majorBidi"/>
        </w:rPr>
        <w:t>13 – 17</w:t>
      </w:r>
      <w:r>
        <w:rPr>
          <w:rFonts w:cs="Times New Roman" w:ascii="Times New Roman" w:hAnsi="Times New Roman" w:asciiTheme="majorBidi" w:cstheme="majorBidi" w:hAnsiTheme="majorBidi"/>
          <w:b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</w:rPr>
        <w:t>лет</w:t>
      </w:r>
      <w:r>
        <w:rPr>
          <w:rFonts w:cs="Times New Roman" w:ascii="Times New Roman" w:hAnsi="Times New Roman" w:asciiTheme="majorBidi" w:cstheme="majorBidi" w:hAnsiTheme="majorBidi"/>
          <w:color w:val="000000"/>
        </w:rPr>
        <w:t>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Занятия проводятся два раза в неделю, продолжительность занятий 2 часа.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Количество детей в группе: 12 человек.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Формы занятий разнообразные: это фронтальные занятия (лекция, беседа, семинар), индивидуальные и групповые консультационные занятия по индивидуальным планам выполнения творческих работ и проектов, групповые практические и лабораторные работы, открытые занятия.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Разработка исследовательских проектов, решение задач, предложенных на интеллектуальных турнирах, выполнение лабораторных и практических работ осуществляется слушателями индивидуально или группами 2 – 3 человека с обсуждением промежуточных и окончательных результатов всем коллективом слушателей.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Слушатели объединения готовят реферативные сообщения по тематике работы объединения, используя материалы журналов "Наука и жизнь", "В мире науки", "Популярная механика", "Знание – сила" и др., выступают как докладчики и оппоненты по итогам проекта или исследовательской работы. Слушатели объединения встречаются не только на занятиях, но и на встрече "Нелинейного нового года", в однодневных и двухдневных с ночевкой в полевых условиях экспедиционных выходах по Подмосковью, на научно-популярных лекциях и экскурсиях в музеи и научно-исследовательские организации. В объединении проводятся встречи с ведущими учеными, работающими в МГТУ им. Н.Э. Баумана, Физическом институте РАН и других организациях. Команды, составленные из слушателей объединения дополнительного образования "Нелинейный мир", выступают на Всероссийском турнире юных физиков, Школьном турнире физических боев, проводимом МЦНМО и ИТЭФ им. А.И. Алиханова, Международном турнире "Компьютерная физика", Турнире имени М.В. Ломоносова, окружных и городских физических и математических олимпиадах. Большинство слушателей объединения участвуют хотя бы в одном из командных турниров. Те же дети, которые не участвовали в турнирах, могут выступить со своей работой на лицейских физматбоях, общелицейской конференции или на открытом занятии объединения.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Важной особенностью формирования команд, участвующих в указанных мероприятиях, является разновозрастный состав. Обучающиеся старшего возраста  являются в командах ведущими участниками, а их младшие товарищи учатся у них, выполняя в то же время не менее важную для общего результата работу технического характера (делают расчеты по составленным старшими участниками моделям, проводят опыты, требующие большого числа повторений и т.п.).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1.9. Ожидаемые результаты и способы их проверки</w:t>
      </w:r>
    </w:p>
    <w:p>
      <w:pPr>
        <w:pStyle w:val="Style29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 w:val="false"/>
          <w:i w:val="false"/>
          <w:sz w:val="24"/>
          <w:szCs w:val="24"/>
        </w:rPr>
      </w:pPr>
      <w:r>
        <w:rPr>
          <w:rFonts w:cs="Times New Roman" w:cstheme="majorBidi"/>
          <w:sz w:val="24"/>
          <w:szCs w:val="24"/>
        </w:rPr>
        <w:t>По окончании программы дети  получат и усвоят  современные представления:</w:t>
      </w:r>
    </w:p>
    <w:p>
      <w:pPr>
        <w:pStyle w:val="Normal"/>
        <w:numPr>
          <w:ilvl w:val="0"/>
          <w:numId w:val="1"/>
        </w:numPr>
        <w:tabs>
          <w:tab w:val="left" w:pos="981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о единстве пространстве – времени и неразрывности материи и пространства - времени;</w:t>
      </w:r>
    </w:p>
    <w:p>
      <w:pPr>
        <w:pStyle w:val="Normal"/>
        <w:numPr>
          <w:ilvl w:val="0"/>
          <w:numId w:val="1"/>
        </w:numPr>
        <w:tabs>
          <w:tab w:val="left" w:pos="981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о принципе относительности;</w:t>
      </w:r>
    </w:p>
    <w:p>
      <w:pPr>
        <w:pStyle w:val="Normal"/>
        <w:numPr>
          <w:ilvl w:val="0"/>
          <w:numId w:val="1"/>
        </w:numPr>
        <w:tabs>
          <w:tab w:val="left" w:pos="981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о квантовомеханических моделях и их связи с классическими предельными моделями;</w:t>
      </w:r>
    </w:p>
    <w:p>
      <w:pPr>
        <w:pStyle w:val="Normal"/>
        <w:numPr>
          <w:ilvl w:val="0"/>
          <w:numId w:val="1"/>
        </w:numPr>
        <w:tabs>
          <w:tab w:val="left" w:pos="981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о нелинейных моделях различных физических явлений и некоторых способах их компьютерного моделирования;</w:t>
      </w:r>
    </w:p>
    <w:p>
      <w:pPr>
        <w:pStyle w:val="Normal"/>
        <w:numPr>
          <w:ilvl w:val="0"/>
          <w:numId w:val="1"/>
        </w:numPr>
        <w:tabs>
          <w:tab w:val="left" w:pos="981" w:leader="none"/>
        </w:tabs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о сочетании теоретических и экспериментальных исследований в современной физике.</w:t>
      </w:r>
    </w:p>
    <w:p>
      <w:pPr>
        <w:pStyle w:val="Style29"/>
        <w:spacing w:lineRule="auto" w:line="360"/>
        <w:ind w:firstLine="709"/>
        <w:rPr>
          <w:rFonts w:ascii="Times New Roman" w:hAnsi="Times New Roman" w:cs="Times New Roman" w:asciiTheme="majorBidi" w:cstheme="majorBidi" w:hAnsiTheme="majorBidi"/>
          <w:sz w:val="24"/>
          <w:szCs w:val="24"/>
        </w:rPr>
      </w:pPr>
      <w:r>
        <w:rPr>
          <w:rFonts w:cs="Times New Roman" w:cstheme="majorBidi"/>
          <w:sz w:val="24"/>
          <w:szCs w:val="24"/>
        </w:rPr>
        <w:t>По окончании программы дети приобретут следующие умения:</w:t>
      </w:r>
    </w:p>
    <w:p>
      <w:pPr>
        <w:pStyle w:val="Normal"/>
        <w:numPr>
          <w:ilvl w:val="0"/>
          <w:numId w:val="2"/>
        </w:numPr>
        <w:tabs>
          <w:tab w:val="left" w:pos="1080" w:leader="none"/>
        </w:tabs>
        <w:spacing w:lineRule="auto" w:line="360"/>
        <w:ind w:left="0" w:firstLine="720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наблюдать и анализировать реальные физические процессы на примере явлений, встречающихся в быту и в ближайшем природном окружении;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составлять модели физических процессов на основе представлений элементарной физики;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проводить экспериментальные исследования в рамках принятой модели;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формулировать и обсуждать полученные экспериментальные результаты;</w:t>
      </w:r>
    </w:p>
    <w:p>
      <w:pPr>
        <w:pStyle w:val="Normal"/>
        <w:numPr>
          <w:ilvl w:val="0"/>
          <w:numId w:val="2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готовить и представлять доклад по проделанной работе.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Успешность выполнения работы оценивается по соответствию полученных экспериментальных результатов теоретическим представлениям и логической непротиворечивости сделанных по работе выводов.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Текущая и промежуточная проверка результатов осуществляется во время собеседования с педагогом на консультационных занятиях. Промежуточная проверка результатов может проходить в форме доклада на собрании объединения. По окончании тематических разделов проводятся защиты творческих работ.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Итоговая проверка результатов осуществляется в процессе участия в конференциях турнирах, олимпиадах.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Следует заметить, что формальные результаты выступлений слушателей на различных мероприятиях (грамоты, дипломы и т.п.) не должны быть оценкой успешности занятий ребенка в объединении. Само выступление на таком мероприятии – уже большое достижение слушателя.</w:t>
      </w:r>
    </w:p>
    <w:p>
      <w:pPr>
        <w:pStyle w:val="1"/>
        <w:suppressAutoHyphens w:val="true"/>
        <w:spacing w:lineRule="auto" w:line="360" w:before="0" w:after="120"/>
        <w:ind w:hanging="0"/>
        <w:jc w:val="center"/>
        <w:rPr>
          <w:rFonts w:ascii="Times New Roman" w:hAnsi="Times New Roman" w:cs="Times New Roman" w:asciiTheme="majorBidi" w:cstheme="majorBidi" w:hAnsiTheme="majorBidi"/>
          <w:i w:val="false"/>
          <w:i w:val="false"/>
          <w:sz w:val="24"/>
          <w:szCs w:val="24"/>
        </w:rPr>
      </w:pPr>
      <w:r>
        <w:rPr>
          <w:rFonts w:cs="Times New Roman" w:cstheme="majorBidi"/>
          <w:i w:val="false"/>
          <w:sz w:val="24"/>
          <w:szCs w:val="24"/>
        </w:rPr>
        <w:t xml:space="preserve">2. Учебно-тематический план </w:t>
      </w:r>
    </w:p>
    <w:tbl>
      <w:tblPr>
        <w:tblW w:w="9322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61"/>
        <w:gridCol w:w="4926"/>
        <w:gridCol w:w="1080"/>
        <w:gridCol w:w="1081"/>
        <w:gridCol w:w="1474"/>
      </w:tblGrid>
      <w:tr>
        <w:trPr>
          <w:trHeight w:val="437" w:hRule="atLeast"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№</w:t>
            </w:r>
          </w:p>
        </w:tc>
        <w:tc>
          <w:tcPr>
            <w:tcW w:w="4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4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4"/>
              </w:rPr>
            </w:pPr>
            <w:r>
              <w:rPr>
                <w:rFonts w:cs="Times New Roman" w:cstheme="majorBidi"/>
                <w:b w:val="false"/>
                <w:szCs w:val="24"/>
              </w:rPr>
              <w:t>Наименование разделов, тем</w:t>
            </w:r>
          </w:p>
        </w:tc>
        <w:tc>
          <w:tcPr>
            <w:tcW w:w="3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Количество часов</w:t>
            </w:r>
          </w:p>
        </w:tc>
      </w:tr>
      <w:tr>
        <w:trPr>
          <w:trHeight w:val="541" w:hRule="atLeast"/>
        </w:trPr>
        <w:tc>
          <w:tcPr>
            <w:tcW w:w="7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cstheme="majorBidi" w:ascii="Times New Roman" w:hAnsi="Times New Roman"/>
                <w:b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Всего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Теория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Практика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Вводное занятие.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-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19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9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10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Предмет и методы физики. Моделирование в физике.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Однородность и изотропность пространства и времени.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1.3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  <w:lang w:val="en-US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Вещество и поле – формы существования материи. Различные виды взаимодействий.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1.4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Движение, его относительность. Равноправие инерциальных систем отсчета в классической и современной физике.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1.5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Конечность скорости распространения сигнала. Галилеево пространство – время. Механический мир Ньютона. Проблемы вычислимости в мире материальных точек и шариков.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Поле, кванты, пространство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2.1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Гамильтонова механика. Фазовое пространство.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      </w:t>
            </w: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2.2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Взаимодействие полей и создающих их частиц в различных пространствах.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-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2.3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Гипотезы: голографическая Вселенная; множественность Вселенных.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-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III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Движение в пространстве Минковского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3.1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  <w:lang w:val="en-US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Пространство – время Минковского.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3.2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Инертность и гравитация. Мировая линия.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-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IV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Законы сохранения физических величин как проявление симметрии в природе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4.1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  <w:lang w:val="en-US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Симметрия, однородность и законы сохранения. Действие. Принцип Мопертюи.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V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Колебательные процессы в линейных и нелинейных системах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10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Возникновение колебаний. Фазовые портреты колебаний. Гармонические колебания.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Затухающие колебания в системах с вязким и сухим трением.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5.3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Вынужденные колебания.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5.4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Параметрические колебания.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5.5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Колебания в нелинейных системах.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VI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От волн к квантам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  <w:lang w:val="en-US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Волновые процессы.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Дисперсия, волновой пакет. Принцип неопределенности для волновых движений.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6.3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Квантовая гипотеза.  Комплексный характер детерминистского описания микроявлений.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6.4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Где граница между квантовым и классическим миром? Принцип неопределенности.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6.5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6.6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Являются ли квантовые парадоксы парадоксами.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VII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Равновесные и неравновесные системы. Хаос и самоорганизация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52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26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Энтропия. Хаотичен ли настоящий хаос?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Стрела времени. Принцип неубывания энтропии.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7.3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Нелинейные колебательные системы. Фазовые портреты. Аттракторы.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7.4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Стационарность и равновесие. Неравновесные системы.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7.5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О теории катастроф.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7.6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Статистическая механика. Флуктуации.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7.7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Что нужно для самоорганизации</w:t>
            </w:r>
            <w:r>
              <w:rPr>
                <w:rFonts w:cs="Times New Roman" w:ascii="Times New Roman" w:hAnsi="Times New Roman" w:asciiTheme="majorBidi" w:cstheme="majorBidi" w:hAnsiTheme="majorBidi"/>
                <w:lang w:val="en-US"/>
              </w:rPr>
              <w:t>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7.8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Упорядочение через флуктуации.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7.9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Чем идеальный газ отличается от гравитирующих систем? Самоорганизация галактик.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7.10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Жизнь неживой природы. Фрактальная организация самоподдерживающихся структур.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7.11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Некоторые фрактальные множества (Ньютона, Мандельброта и др.).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7.12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>
          <w:trHeight w:val="864" w:hRule="atLeast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7.13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4"/>
              </w:rPr>
            </w:pPr>
            <w:r>
              <w:rPr>
                <w:rFonts w:cs="Times New Roman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4"/>
              </w:rPr>
            </w:pPr>
            <w:r>
              <w:rPr>
                <w:rFonts w:cs="Times New Roman" w:cstheme="majorBidi"/>
                <w:szCs w:val="24"/>
              </w:rPr>
              <w:t xml:space="preserve"> </w:t>
            </w:r>
            <w:r>
              <w:rPr>
                <w:rFonts w:cs="Times New Roman" w:cstheme="majorBidi"/>
                <w:szCs w:val="24"/>
              </w:rPr>
              <w:t>Итоговое занятие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-</w:t>
            </w:r>
          </w:p>
        </w:tc>
      </w:tr>
      <w:tr>
        <w:trPr>
          <w:trHeight w:val="408" w:hRule="atLeast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  <w:szCs w:val="24"/>
              </w:rPr>
            </w:pPr>
            <w:r>
              <w:rPr>
                <w:rFonts w:cs="Times New Roman" w:cstheme="majorBidi"/>
                <w:b/>
                <w:szCs w:val="24"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144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64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4"/>
              </w:rPr>
            </w:pPr>
            <w:r>
              <w:rPr>
                <w:rFonts w:cs="Times New Roman" w:cstheme="majorBidi"/>
                <w:szCs w:val="24"/>
              </w:rPr>
              <w:t>Массовые мероприятия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-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8</w:t>
            </w:r>
          </w:p>
        </w:tc>
      </w:tr>
      <w:tr>
        <w:trPr/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360"/>
              <w:rPr>
                <w:rFonts w:ascii="Times New Roman" w:hAnsi="Times New Roman" w:cs="Times New Roman" w:asciiTheme="majorBidi" w:cstheme="majorBidi" w:hAnsiTheme="majorBidi"/>
                <w:b/>
                <w:b/>
                <w:szCs w:val="24"/>
              </w:rPr>
            </w:pPr>
            <w:r>
              <w:rPr>
                <w:rFonts w:cs="Times New Roman" w:cstheme="majorBidi"/>
                <w:b/>
                <w:szCs w:val="24"/>
              </w:rPr>
              <w:t>Всего: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152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72</w:t>
            </w:r>
          </w:p>
        </w:tc>
      </w:tr>
    </w:tbl>
    <w:p>
      <w:pPr>
        <w:pStyle w:val="Normal"/>
        <w:spacing w:lineRule="auto" w:line="360" w:before="240" w:after="12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cstheme="majorBidi" w:ascii="Times New Roman" w:hAnsi="Times New Roman"/>
          <w:b/>
        </w:rPr>
      </w:r>
    </w:p>
    <w:p>
      <w:pPr>
        <w:pStyle w:val="Normal"/>
        <w:spacing w:lineRule="auto" w:line="360" w:before="240" w:after="12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 xml:space="preserve">3. Содержание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Вводное занятие.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Что значит нелинейность мира? Вопросы безопасности при выполнении лабораторных исследований.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  <w:lang w:val="en-US"/>
        </w:rPr>
        <w:t>I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. Пространство и время в классической физике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Теоретические сведения</w:t>
      </w:r>
      <w:r>
        <w:rPr>
          <w:rFonts w:cs="Times New Roman" w:ascii="Times New Roman" w:hAnsi="Times New Roman" w:asciiTheme="majorBidi" w:cstheme="majorBidi" w:hAnsiTheme="majorBidi"/>
          <w:i/>
        </w:rPr>
        <w:t xml:space="preserve">. </w:t>
      </w:r>
      <w:r>
        <w:rPr>
          <w:rFonts w:cs="Times New Roman" w:ascii="Times New Roman" w:hAnsi="Times New Roman" w:asciiTheme="majorBidi" w:cstheme="majorBidi" w:hAnsiTheme="majorBidi"/>
        </w:rPr>
        <w:t>Предмет и методы физики. Моделирование в физике. Однородность и изотропность пространства и времени. Нет пустого пространства. Вещество и поле – формы существования материи. Изменения в окружающем мире – результат взаимодействий. Различные виды взаимодействий. Электромагнитное взаимодействие. Понятие движения, его относительность. Система отсчета. Инерциальные и неинерциальные системы отсчета. Первый закон Ньютона. Равноправие инерциальных систем отсчета в классической и современной физике. Конечность скорости распространения сигнала. Галилеево пространство – время. Механический мир Ньютона. Проблемы вычислимости в мире материальных точек и шариков.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Практический материал. </w:t>
      </w:r>
      <w:r>
        <w:rPr>
          <w:rFonts w:cs="Times New Roman" w:ascii="Times New Roman" w:hAnsi="Times New Roman" w:asciiTheme="majorBidi" w:cstheme="majorBidi" w:hAnsiTheme="majorBidi"/>
        </w:rPr>
        <w:t>Решение задач из раздела механика.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  <w:lang w:val="en-US"/>
        </w:rPr>
        <w:t>II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>. Поле, кванты, пространство.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Гамильтонова механика. Фазовое пространство. Взаимодействие полей и создающих их частиц в различных пространствах. Гипотезы: голографическая Вселенная; множественность Вселенных.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Практический материал. </w:t>
      </w:r>
      <w:r>
        <w:rPr>
          <w:rFonts w:cs="Times New Roman" w:ascii="Times New Roman" w:hAnsi="Times New Roman" w:asciiTheme="majorBidi" w:cstheme="majorBidi" w:hAnsiTheme="majorBidi"/>
        </w:rPr>
        <w:t>Работа с компьютерными моделями фазовых траекторий.</w:t>
      </w:r>
    </w:p>
    <w:p>
      <w:pPr>
        <w:pStyle w:val="Normal"/>
        <w:spacing w:lineRule="auto" w:line="360" w:before="120" w:after="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  <w:lang w:val="en-US"/>
        </w:rPr>
        <w:t>III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>. Движение в пространстве Минковского.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Пространство – время Минковского. Конус причинности. Одновременность. Сравнение эталонов длины в различных инерциальных системах отсчета. Парадокс близнецов. Движение Пуанкаре в пространстве Минковского. Инертность и гравитация. Мировая линия. Релятивистская причинность. Вектор энергии – импульса.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Практический материал. </w:t>
      </w:r>
      <w:r>
        <w:rPr>
          <w:rFonts w:cs="Times New Roman" w:ascii="Times New Roman" w:hAnsi="Times New Roman" w:asciiTheme="majorBidi" w:cstheme="majorBidi" w:hAnsiTheme="majorBidi"/>
        </w:rPr>
        <w:t>Решение задач. Работа с компьютерными моделями.</w:t>
      </w:r>
    </w:p>
    <w:p>
      <w:pPr>
        <w:pStyle w:val="Normal"/>
        <w:keepNext w:val="true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  <w:lang w:val="en-US"/>
        </w:rPr>
        <w:t>IV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>. Законы сохранения физических величин как проявление симметрии в природе.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Симметрия, однородность и законы сохранения. Действие. Принцип Мопертюи.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Практический материал. </w:t>
      </w:r>
      <w:r>
        <w:rPr>
          <w:rFonts w:cs="Times New Roman" w:ascii="Times New Roman" w:hAnsi="Times New Roman" w:asciiTheme="majorBidi" w:cstheme="majorBidi" w:hAnsiTheme="majorBidi"/>
        </w:rPr>
        <w:t>Решение задач. Просмотр и самостоятельное изготовление видеоматериалов о симметрии.</w:t>
      </w:r>
    </w:p>
    <w:p>
      <w:pPr>
        <w:pStyle w:val="Normal"/>
        <w:spacing w:lineRule="auto" w:line="360" w:before="120" w:after="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  <w:lang w:val="en-US"/>
        </w:rPr>
        <w:t>V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>. Колебательные процессы в линейных и нелинейных системах.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Возникновение колебаний. Фазовые портреты колебаний. Гармонические колебания. Затухающие колебания в системах с вязким и сухим трением. Вынужденные колебания. Параметрические колебания. Колебания в нелинейных системах.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Практический материал. </w:t>
      </w:r>
      <w:r>
        <w:rPr>
          <w:rFonts w:cs="Times New Roman" w:ascii="Times New Roman" w:hAnsi="Times New Roman" w:asciiTheme="majorBidi" w:cstheme="majorBidi" w:hAnsiTheme="majorBidi"/>
        </w:rPr>
        <w:t>Решение задач. Работа с компьютерными моделями колебательных систем. Выполнение лабораторных работ.</w:t>
      </w:r>
    </w:p>
    <w:p>
      <w:pPr>
        <w:pStyle w:val="Normal"/>
        <w:spacing w:lineRule="auto" w:line="360" w:before="120" w:after="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  <w:lang w:val="en-US"/>
        </w:rPr>
        <w:t>VI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>. От волн к квантам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Волновые процессы. Принцип Гюйгенса – Френеля. Интерференция и дифракция. Дисперсия, волновой пакет. Принцип неопределенности для волновых движений. Квантовая гипотеза. Эксперимент с двумя щелями. Волновые функции. Комплексный характер детерминистского описания микроявлений. Квантовые амплитуда и вероятность. Где граница между квантовым и классическим миром? Принцип неопределенности. Как одна частица одновременно в двух местах побывала (эксперимент с двумя щелями). Гильбертово пространство, измерения, копирование квантового состояния. Спин – специфическая квантовая характеристика. Являются ли квантовые парадоксы парадоксами?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Практический материал. </w:t>
      </w:r>
      <w:r>
        <w:rPr>
          <w:rFonts w:cs="Times New Roman" w:ascii="Times New Roman" w:hAnsi="Times New Roman" w:asciiTheme="majorBidi" w:cstheme="majorBidi" w:hAnsiTheme="majorBidi"/>
        </w:rPr>
        <w:t>Работа с компьютерными моделями.</w:t>
      </w:r>
    </w:p>
    <w:p>
      <w:pPr>
        <w:pStyle w:val="Normal"/>
        <w:spacing w:lineRule="auto" w:line="360" w:before="120" w:after="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  <w:lang w:val="en-US"/>
        </w:rPr>
        <w:t>VII</w:t>
      </w:r>
      <w:r>
        <w:rPr>
          <w:rFonts w:cs="Times New Roman" w:ascii="Times New Roman" w:hAnsi="Times New Roman" w:asciiTheme="majorBidi" w:cstheme="majorBidi" w:hAnsiTheme="majorBidi"/>
          <w:b/>
          <w:i/>
        </w:rPr>
        <w:t>. Равновесные и неравновесные системы. Хаос и самоорганизация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Энтропия. Хаотичен ли настоящий хаос? Стрела времени. Принцип неубывания энтропии Нелинейные колебательные системы. Фазовые портреты. Аттракторы. Стационарность и равновесие. Неравновесные системы. Бифуркации в нелинейных системах. О теории катастроф. Каскад бифуркаций как дорога к хаосу. Статистическая механика. Флуктуации. Открытые системы. Энтропия в открытых системах. Что нужно для самоорганизации? Упорядочение через флуктуации. Чем идеальный газ отличается от гравитирующих систем? Самоорганизация галактик. Жизнь неживой природы. Фрактальная организация самоподдерживающихся структур. Некоторые фрактальные множества (Ньютона, Мандельброта и др.). Эволюционная самоорганизация. Обойдемся без бифуркаций? Зачем жизнеспособной системе хаос? Сколько его нужно?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 xml:space="preserve">Практический материал. </w:t>
      </w:r>
      <w:r>
        <w:rPr>
          <w:rFonts w:cs="Times New Roman" w:ascii="Times New Roman" w:hAnsi="Times New Roman" w:asciiTheme="majorBidi" w:cstheme="majorBidi" w:hAnsiTheme="majorBidi"/>
        </w:rPr>
        <w:t>Видеоматериалы, компьютерные модели.</w:t>
      </w:r>
    </w:p>
    <w:p>
      <w:pPr>
        <w:pStyle w:val="Normal"/>
        <w:spacing w:lineRule="auto" w:line="360" w:before="0" w:after="12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>4.</w:t>
      </w:r>
      <w:r>
        <w:rPr>
          <w:rFonts w:cs="Times New Roman" w:ascii="Times New Roman" w:hAnsi="Times New Roman" w:asciiTheme="majorBidi" w:cstheme="majorBidi" w:hAnsiTheme="majorBidi"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  <w:b/>
        </w:rPr>
        <w:t>Методическое обеспечение</w:t>
      </w:r>
    </w:p>
    <w:p>
      <w:pPr>
        <w:pStyle w:val="Normal"/>
        <w:spacing w:lineRule="auto" w:line="360"/>
        <w:ind w:firstLine="652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4.1. Формы занятий</w:t>
      </w:r>
    </w:p>
    <w:tbl>
      <w:tblPr>
        <w:tblW w:w="9124" w:type="dxa"/>
        <w:jc w:val="lef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708"/>
        <w:gridCol w:w="5270"/>
        <w:gridCol w:w="1260"/>
        <w:gridCol w:w="1885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№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4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4"/>
              </w:rPr>
            </w:pPr>
            <w:r>
              <w:rPr>
                <w:rFonts w:cs="Times New Roman" w:cstheme="majorBidi"/>
                <w:b w:val="false"/>
                <w:szCs w:val="24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Теория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Практика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>
          <w:trHeight w:val="131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BodyTextIndent2"/>
              <w:spacing w:lineRule="auto" w:line="360" w:before="0" w:after="120"/>
              <w:ind w:left="0" w:hanging="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/>
              </w:rPr>
              <w:t>Предмет и методы физики. Моделирование в физике. Распределение индивидуальных заданий.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>
          <w:trHeight w:val="934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Однородность и изотропность пространства и времени. Нет пустого пространства.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семинар</w:t>
            </w:r>
          </w:p>
        </w:tc>
      </w:tr>
      <w:tr>
        <w:trPr>
          <w:trHeight w:val="1088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1.3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Вещество и поле – формы существования материи. Различные виды взаимодействий.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лабораторная работа</w:t>
            </w:r>
          </w:p>
        </w:tc>
      </w:tr>
      <w:tr>
        <w:trPr>
          <w:trHeight w:val="1435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1.4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Движение, его относительность. Равноправие инерциальных систем отсчета в классической и современной физике.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семинар, просмотр видеоматериала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1.5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Конечность скорости распространения сигнала. Галилеево пространство – время. Механический мир Ньютона. Проблемы вычислимости в мире материальных точек и шариков.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защита творческих работ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Поле, кванты, пространство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2.1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Гамильтонова механика. Фазовое пространство.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2.2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Взаимодействие полей и создающих их частиц в различных пространствах.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2.3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Гипотезы: голографическая Вселенная; множественность Вселенных.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III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Движение в пространстве Минковского.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3.1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Пространство – время Минковского.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защита творческих работ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3.2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 </w:t>
            </w:r>
            <w:r>
              <w:rPr>
                <w:rFonts w:cs="Times New Roman" w:ascii="Times New Roman" w:hAnsi="Times New Roman" w:asciiTheme="majorBidi" w:cstheme="majorBidi" w:hAnsiTheme="majorBidi"/>
              </w:rPr>
              <w:t>Инертность и гравитация. Мировая линия.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IV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Законы сохранения физических величин как проявление симметрии в природе.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4.1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Симметрия, однородность и законы сохранения. Действие. Принцип Мопертюи.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семинар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V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Колебательные процессы в линейных и нелинейных системах.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Возникновение колебаний. Фазовые портреты колебаний. Гармонические колебания.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практическая работа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Затухающие колебания в системах с вязким и сухим трением.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лабораторная работа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5.3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Вынужденные колебания.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практическая работа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5.4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Параметрические колебания.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5.5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Колебания в нелинейных системах.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консультация, просмотр видеоматериала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VI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От волн к квантам.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Волновые процессы.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Дисперсия, волновой пакет. Принцип неопределенности для волновых движений.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6.3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Квантовая гипотеза.  Комплексный характер детерминистского описания микроявлений.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6.4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 </w:t>
            </w: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Где граница между квантовым и классическим миром? Принцип неопределенности.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6.5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6.6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Являются ли квантовые парадоксы парадоксами.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  <w:b/>
                <w:b/>
              </w:rPr>
            </w:pPr>
            <w:r>
              <w:rPr>
                <w:rFonts w:cs="Times New Roman" w:ascii="Times New Roman" w:hAnsi="Times New Roman" w:asciiTheme="majorBidi" w:cstheme="majorBidi" w:hAnsiTheme="majorBidi"/>
                <w:b/>
                <w:lang w:val="en-US"/>
              </w:rPr>
              <w:t>VII</w:t>
            </w:r>
            <w:r>
              <w:rPr>
                <w:rFonts w:cs="Times New Roman" w:ascii="Times New Roman" w:hAnsi="Times New Roman" w:asciiTheme="majorBidi" w:cstheme="majorBidi" w:hAnsiTheme="majorBidi"/>
                <w:b/>
              </w:rPr>
              <w:t>. Равновесные и неравновесные системы. Хаос и самоорганизация.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cstheme="majorBidi" w:ascii="Times New Roman" w:hAnsi="Times New Roman"/>
              </w:rPr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Энтропия. Хаотичен ли настоящий хаос?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Стрела времени. Принцип неубывания энтропии.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7.3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Нелинейные колебательные системы. Фазовые портреты. Аттракторы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консультация, просмотр видеоматериала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7.4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Стационарность и равновесие. Неравновесные системы.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7.5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 </w:t>
            </w: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О теории катастроф.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обсуждение доклада 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7.6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Статистическая механика. Флуктуации.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7.7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 </w:t>
            </w:r>
            <w:r>
              <w:rPr>
                <w:rFonts w:cs="Times New Roman" w:ascii="Times New Roman" w:hAnsi="Times New Roman" w:asciiTheme="majorBidi" w:cstheme="majorBidi" w:hAnsiTheme="majorBidi"/>
              </w:rPr>
              <w:t>Что нужно для самоорганизации</w:t>
            </w:r>
            <w:r>
              <w:rPr>
                <w:rFonts w:cs="Times New Roman" w:ascii="Times New Roman" w:hAnsi="Times New Roman" w:asciiTheme="majorBidi" w:cstheme="majorBidi" w:hAnsiTheme="majorBidi"/>
                <w:lang w:val="en-US"/>
              </w:rPr>
              <w:t>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 xml:space="preserve">обсуждение доклада 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7.8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Упорядочение через флуктуации.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консультация, обсуждение публикаций в научно-популярных изданиях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7.9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Чем идеальный газ отличается от гравитирующих систем? Самоорганизация галактик.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7.10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Жизнь неживой природы. Фрактальная организация самоподдерживающихся структур.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консультация, просмотр видеоматериала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7.11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Некоторые фрактальные множества (Ньютона, Мандельброта и др.).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обсуждение доклада, просмотр видеоматериала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7.12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both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обсуждение доклада</w:t>
            </w:r>
          </w:p>
        </w:tc>
      </w:tr>
      <w:tr>
        <w:trPr>
          <w:trHeight w:val="129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7.13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4"/>
              </w:rPr>
            </w:pPr>
            <w:r>
              <w:rPr>
                <w:rFonts w:cs="Times New Roman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обсуждение доклада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120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8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25"/>
              <w:spacing w:lineRule="auto" w:line="360"/>
              <w:rPr>
                <w:rFonts w:ascii="Times New Roman" w:hAnsi="Times New Roman" w:cs="Times New Roman" w:asciiTheme="majorBidi" w:cstheme="majorBidi" w:hAnsiTheme="majorBidi"/>
                <w:szCs w:val="24"/>
              </w:rPr>
            </w:pPr>
            <w:r>
              <w:rPr>
                <w:rFonts w:cs="Times New Roman" w:cstheme="majorBidi"/>
                <w:szCs w:val="24"/>
              </w:rPr>
              <w:t>Итоговое занятие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center"/>
              <w:rPr>
                <w:rFonts w:ascii="Times New Roman" w:hAnsi="Times New Roman" w:cs="Times New Roman" w:asciiTheme="majorBidi" w:cstheme="majorBidi" w:hAnsiTheme="majorBidi"/>
                <w:lang w:val="en-US"/>
              </w:rPr>
            </w:pPr>
            <w:r>
              <w:rPr>
                <w:rFonts w:cs="Times New Roman" w:cstheme="majorBidi" w:ascii="Times New Roman" w:hAnsi="Times New Roman"/>
                <w:lang w:val="en-US"/>
              </w:rPr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360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к</w:t>
            </w:r>
            <w:r>
              <w:rPr>
                <w:rFonts w:cs="Times New Roman" w:ascii="Times New Roman" w:hAnsi="Times New Roman" w:asciiTheme="majorBidi" w:cstheme="majorBidi" w:hAnsiTheme="majorBidi"/>
                <w:lang w:val="en-US"/>
              </w:rPr>
              <w:t>онференция</w:t>
            </w:r>
            <w:r>
              <w:rPr>
                <w:rFonts w:cs="Times New Roman" w:ascii="Times New Roman" w:hAnsi="Times New Roman" w:asciiTheme="majorBidi" w:cstheme="majorBidi" w:hAnsiTheme="majorBidi"/>
              </w:rPr>
              <w:t>, турнир</w:t>
            </w:r>
          </w:p>
        </w:tc>
      </w:tr>
    </w:tbl>
    <w:p>
      <w:pPr>
        <w:pStyle w:val="Normal"/>
        <w:spacing w:lineRule="auto" w:line="360" w:before="240" w:after="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Предусмотрено проведение массовых мероприятий: встреча "Нелинейного Нового года", экскурсии в музеи и в научно-исследовательские организации.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Поскольку участие в физических турнирах, конференциях и других мероприятиях бывает связано с длительными выездами в другие города России и за ее рубежи, для каждой поездки разрабатывается "Банк свободного времени", в котором планируются учебные и массовые мероприятия: беседы, обсуждения, экскурсии и т.д.</w:t>
      </w:r>
    </w:p>
    <w:p>
      <w:pPr>
        <w:pStyle w:val="Normal"/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По окончании учебного года дети объединения дополнительного образования "Нелинейный мир" могут участвовать в однодневном и двухдневном с ночевкой в полевых условиях экспедиционном выходе по Подмосковью, лицейской туристско-исследовательской экспедиции по изучению гидрофизических характеристик природных водоемов. Подготовка к указанным мероприятиям осуществляется в соответствии с "Инструкцией по организации и проведению туристских мероприятий с обучающимися образовательных учреждений системы Московского комитета образования" № 707 от 25.09.2001 года.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4.2. Дидактический материал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конспекты материалов для лекций и бесед;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комплект медиаматериалов "Открытая физика" и "Живая физика";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авторские демонстрационные компьютерные модели изучаемых явлений (например, "Фазовые траектории нелинейных маятников", "Фрактальный ковер");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демонстрационные компьютерные модели, подготовленные слушателями ОДО "Нелинейный мир" (например, "Акулы и ставриды", "Игра "Жизнь"");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задания турниров физических боев и турниров "Компьютерная физика", задачи олимпиад и их решения, подготовленные слушателями ОДО "Нелинейный мир";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авторский блок задач, разработанный для турниров физических боев;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презентационные материалы по итогам проведенных ранее исследований;</w:t>
      </w:r>
    </w:p>
    <w:p>
      <w:pPr>
        <w:pStyle w:val="Normal"/>
        <w:numPr>
          <w:ilvl w:val="1"/>
          <w:numId w:val="3"/>
        </w:numPr>
        <w:tabs>
          <w:tab w:val="left" w:pos="1090" w:leader="none"/>
        </w:tabs>
        <w:spacing w:lineRule="auto" w:line="360" w:before="0" w:after="120"/>
        <w:ind w:firstLine="709"/>
        <w:jc w:val="both"/>
        <w:rPr>
          <w:rFonts w:ascii="Times New Roman" w:hAnsi="Times New Roman" w:cs="Times New Roman" w:asciiTheme="majorBidi" w:cstheme="majorBidi" w:hAnsiTheme="majorBidi"/>
          <w:b/>
          <w:b/>
          <w:i/>
          <w:i/>
        </w:rPr>
      </w:pPr>
      <w:r>
        <w:rPr>
          <w:rFonts w:cs="Times New Roman" w:ascii="Times New Roman" w:hAnsi="Times New Roman" w:asciiTheme="majorBidi" w:cstheme="majorBidi" w:hAnsiTheme="majorBidi"/>
        </w:rPr>
        <w:t>описания лабораторных установок, подготовленные автором и слушателями ОДО "Нелинейный мир".</w:t>
      </w:r>
    </w:p>
    <w:p>
      <w:pPr>
        <w:pStyle w:val="Normal"/>
        <w:keepNext w:val="true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i/>
        </w:rPr>
        <w:t>4.3. Техническое оснащение занятий</w:t>
      </w:r>
    </w:p>
    <w:p>
      <w:pPr>
        <w:pStyle w:val="Normal"/>
        <w:numPr>
          <w:ilvl w:val="0"/>
          <w:numId w:val="4"/>
        </w:numPr>
        <w:tabs>
          <w:tab w:val="left" w:pos="1090" w:leader="none"/>
        </w:tabs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занятия проводятся в лаборатории физического практикума кафедры "Основы физики" МГТУ им. Н.Э. Баумана, расположенной в лицее. Лаборатория оборудована всем необходимым для безопасного проведения занятий и ежегодно аттестуется в процессе приемки лицея к учебному году;</w:t>
      </w:r>
    </w:p>
    <w:p>
      <w:pPr>
        <w:pStyle w:val="Normal"/>
        <w:numPr>
          <w:ilvl w:val="0"/>
          <w:numId w:val="4"/>
        </w:numPr>
        <w:tabs>
          <w:tab w:val="left" w:pos="1090" w:leader="none"/>
        </w:tabs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лабораторное оборудование, имеющееся на кафедре "Основы физики" МГТУ имени Н.Э. Баумана, включающее в себя комплект вузовского физического практикума, закупленный в "Росучприборе". Оборудование представлено по группам: "Механика", "Молекулярная физика и термодинамика", "Электричество", "Колебания и волны", "Оптика", "Основы современной физики". Также лаборатория укомплектована комплектом химической посуды (пробирки, мерные стаканы объемом 100 мл, 200 мл, 400 мл, сосуды объемом до 4 л круглого и квадратного сечения, мензурки, штативы, нагреватели пробирок). Для выполнения экспериментальных работ используются только вещества, применяемые в быту: поваренная соль, сода, перманганат калия и т.п.;</w:t>
      </w:r>
    </w:p>
    <w:p>
      <w:pPr>
        <w:pStyle w:val="Normal"/>
        <w:numPr>
          <w:ilvl w:val="0"/>
          <w:numId w:val="4"/>
        </w:numPr>
        <w:tabs>
          <w:tab w:val="left" w:pos="1090" w:leader="none"/>
        </w:tabs>
        <w:spacing w:lineRule="auto" w:line="360" w:before="0" w:after="12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2 компьютера с возможностью осуществлять мультимедийные презентации и с установленными программными средами для модельных расчетов и подготовки и демонстрации докладов.</w:t>
      </w:r>
    </w:p>
    <w:p>
      <w:pPr>
        <w:pStyle w:val="Normal"/>
        <w:spacing w:lineRule="auto" w:line="360" w:before="0" w:after="12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>5. Список литературы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/>
      </w:pPr>
      <w:r>
        <w:rPr>
          <w:rFonts w:cs="Times New Roman" w:ascii="Times New Roman" w:hAnsi="Times New Roman" w:asciiTheme="majorBidi" w:cstheme="majorBidi" w:hAnsiTheme="majorBidi"/>
          <w:szCs w:val="28"/>
        </w:rPr>
        <w:t xml:space="preserve">Арнольд В.И. Теория катастроф. – М.: Наука. Гл. ред. физ.-мат. лит., 1990. – 128 с. – </w:t>
      </w:r>
      <w:r>
        <w:rPr>
          <w:rFonts w:cs="Times New Roman" w:ascii="Times New Roman" w:hAnsi="Times New Roman" w:asciiTheme="majorBidi" w:cstheme="majorBidi" w:hAnsiTheme="majorBidi"/>
          <w:szCs w:val="28"/>
          <w:lang w:val="en-US"/>
        </w:rPr>
        <w:t>ISBN</w:t>
      </w:r>
      <w:r>
        <w:rPr>
          <w:rFonts w:cs="Times New Roman" w:ascii="Times New Roman" w:hAnsi="Times New Roman" w:asciiTheme="majorBidi" w:cstheme="majorBidi" w:hAnsiTheme="majorBidi"/>
          <w:szCs w:val="28"/>
        </w:rPr>
        <w:t xml:space="preserve"> 5-02-014271-9.</w:t>
      </w:r>
      <w:r>
        <w:rPr>
          <w:color w:val="000000"/>
          <w:szCs w:val="28"/>
        </w:rPr>
        <w:br/>
      </w:r>
      <w:r>
        <w:rPr>
          <w:rFonts w:eastAsia="Times New Roman" w:cs="Times New Roman" w:ascii="Times New Roman" w:hAnsi="Times New Roman"/>
          <w:bCs/>
          <w:color w:val="1A1A1A"/>
          <w:kern w:val="2"/>
          <w:szCs w:val="28"/>
          <w:lang w:eastAsia="ru-RU"/>
        </w:rPr>
        <w:t xml:space="preserve">Воллиман, Ньюман: Профессор Астрокот и его приключения в мире физики. </w:t>
        <w:br/>
      </w:r>
      <w:r>
        <w:rPr>
          <w:rFonts w:cs="Times New Roman" w:ascii="Times New Roman" w:hAnsi="Times New Roman"/>
          <w:szCs w:val="28"/>
        </w:rPr>
        <w:t xml:space="preserve">Москва: </w:t>
      </w:r>
      <w:hyperlink r:id="rId16">
        <w:r>
          <w:rPr>
            <w:rStyle w:val="ListLabel178"/>
            <w:rFonts w:cs="Times New Roman" w:ascii="Times New Roman" w:hAnsi="Times New Roman"/>
            <w:color w:val="2F2F2F"/>
            <w:szCs w:val="28"/>
            <w:u w:val="single"/>
          </w:rPr>
          <w:t>Манн, Иванов и Фербер</w:t>
        </w:r>
      </w:hyperlink>
      <w:r>
        <w:rPr>
          <w:rFonts w:cs="Times New Roman" w:ascii="Times New Roman" w:hAnsi="Times New Roman"/>
          <w:color w:val="000000"/>
          <w:szCs w:val="28"/>
        </w:rPr>
        <w:t>. - 2019 г.- 72 с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Гарднер М. От мозаик Пенроуза к надежным шифрам. – М.: Мир, 1993. –  416 с.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Гуменюк А.Д. Основы электроники, радиотехники и связи. – Москва, РиС, 2015.- 480 с.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Даль Э.Н. Электроника для детей. Собираем простые схемы. - Москва, 2017 – 22 с.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Догадин Н.Б. Основы радиотехники. – СПб: «Лань», 2007 – 272 с.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Мощенский Ю.В. Теоретические основы радиотехники. Сигналы. – Спб: «Лань», 2018 – 216 с.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Перельман Я.И. Занимательная физика. – Д.: ВАП, 1994, - 208 с.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Пенроуз Р. Сон разума. – М.: Едиториал УРСС, 2006. – 768 с.</w:t>
      </w:r>
    </w:p>
    <w:p>
      <w:pPr>
        <w:pStyle w:val="ListParagraph"/>
        <w:numPr>
          <w:ilvl w:val="0"/>
          <w:numId w:val="30"/>
        </w:numPr>
        <w:tabs>
          <w:tab w:val="left" w:pos="284" w:leader="none"/>
          <w:tab w:val="left" w:pos="851" w:leader="none"/>
        </w:tabs>
        <w:spacing w:lineRule="auto" w:line="360"/>
        <w:ind w:left="0" w:hanging="0"/>
        <w:jc w:val="both"/>
        <w:rPr>
          <w:rFonts w:ascii="Times New Roman" w:hAnsi="Times New Roman" w:cs="Times New Roman" w:asciiTheme="majorBidi" w:cstheme="majorBidi" w:hAnsiTheme="majorBidi"/>
          <w:szCs w:val="28"/>
        </w:rPr>
      </w:pPr>
      <w:r>
        <w:rPr>
          <w:rFonts w:cs="Times New Roman" w:ascii="Times New Roman" w:hAnsi="Times New Roman" w:asciiTheme="majorBidi" w:cstheme="majorBidi" w:hAnsiTheme="majorBidi"/>
          <w:szCs w:val="28"/>
        </w:rPr>
        <w:t>Савенков В. Введение в электронику. – Москва, АВП «Инвест», 2010 – 68 с.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/>
        <w:ind w:right="150" w:hanging="0"/>
        <w:outlineLvl w:val="0"/>
        <w:rPr>
          <w:rFonts w:ascii="Times New Roman" w:hAnsi="Times New Roman" w:eastAsia="Times New Roman" w:cs="Times New Roman"/>
          <w:bCs/>
          <w:color w:val="1A1A1A"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1A1A1A"/>
          <w:kern w:val="2"/>
          <w:sz w:val="28"/>
          <w:szCs w:val="28"/>
          <w:lang w:eastAsia="ru-RU"/>
        </w:rPr>
      </w:r>
    </w:p>
    <w:p>
      <w:pPr>
        <w:pStyle w:val="Normal"/>
        <w:spacing w:lineRule="auto" w:line="360"/>
        <w:ind w:right="480" w:hanging="0"/>
        <w:jc w:val="both"/>
        <w:rPr>
          <w:i/>
          <w:i/>
        </w:rPr>
      </w:pPr>
      <w:r>
        <w:rPr>
          <w:i/>
        </w:rPr>
      </w:r>
    </w:p>
    <w:p>
      <w:pPr>
        <w:pStyle w:val="Normal"/>
        <w:rPr>
          <w:rFonts w:ascii="Times New Roman" w:hAnsi="Times New Roman" w:cs="Times New Roman" w:asciiTheme="majorBidi" w:cstheme="majorBidi" w:hAnsiTheme="majorBidi"/>
          <w:b/>
          <w:b/>
          <w:bCs/>
          <w:szCs w:val="28"/>
        </w:rPr>
      </w:pPr>
      <w:r>
        <w:rPr>
          <w:rFonts w:cs="Times New Roman" w:cstheme="majorBidi" w:ascii="Times New Roman" w:hAnsi="Times New Roman"/>
          <w:b/>
          <w:bCs/>
          <w:szCs w:val="28"/>
        </w:rPr>
      </w:r>
      <w:r>
        <w:br w:type="page"/>
      </w:r>
    </w:p>
    <w:p>
      <w:pPr>
        <w:pStyle w:val="Normal"/>
        <w:spacing w:lineRule="auto" w:line="360"/>
        <w:jc w:val="right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Приложение 6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Пример расчета затрат на реализацию типовой модели создания новых мест дополнительного образования естественнонаучной направленности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реализацию типовой модели (ЗРТМ) были определены на основании следующей формулы: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ЗРТМ =НЗ * </w:t>
      </w:r>
      <w:r>
        <w:rPr>
          <w:rFonts w:cs="Times New Roman" w:ascii="Times New Roman" w:hAnsi="Times New Roman" w:asciiTheme="majorBidi" w:cstheme="majorBidi" w:hAnsiTheme="majorBidi"/>
          <w:lang w:val="en-US"/>
        </w:rPr>
        <w:t>O</w:t>
      </w:r>
      <w:r>
        <w:rPr>
          <w:rFonts w:cs="Times New Roman" w:ascii="Times New Roman" w:hAnsi="Times New Roman" w:asciiTheme="majorBidi" w:cstheme="majorBidi" w:hAnsiTheme="majorBidi"/>
        </w:rPr>
        <w:t xml:space="preserve"> * ТМ * ПО, где: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НЗ – Нормативные затраты в расчете на одного обучающегося,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lang w:val="en-US"/>
        </w:rPr>
        <w:t>O</w:t>
      </w:r>
      <w:r>
        <w:rPr>
          <w:rFonts w:cs="Times New Roman" w:ascii="Times New Roman" w:hAnsi="Times New Roman" w:asciiTheme="majorBidi" w:cstheme="majorBidi" w:hAnsiTheme="majorBidi"/>
        </w:rPr>
        <w:t xml:space="preserve"> – Охват минимальный (человек), предусмотренный моделями разного масштаба </w:t>
      </w:r>
    </w:p>
    <w:tbl>
      <w:tblPr>
        <w:tblW w:w="67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830"/>
        <w:gridCol w:w="3908"/>
      </w:tblGrid>
      <w:tr>
        <w:trPr>
          <w:trHeight w:val="687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Масштаб решения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Охват минимальный (человек)</w:t>
            </w:r>
          </w:p>
        </w:tc>
      </w:tr>
      <w:tr>
        <w:trPr>
          <w:trHeight w:val="31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Модель S (Кружок)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30</w:t>
            </w:r>
          </w:p>
        </w:tc>
      </w:tr>
      <w:tr>
        <w:trPr>
          <w:trHeight w:val="31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Модель M (Клуб)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150</w:t>
            </w:r>
          </w:p>
        </w:tc>
      </w:tr>
      <w:tr>
        <w:trPr>
          <w:trHeight w:val="31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Модель L(Станция)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600</w:t>
            </w:r>
          </w:p>
        </w:tc>
      </w:tr>
      <w:tr>
        <w:trPr>
          <w:trHeight w:val="31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Модель XL (Центр)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rFonts w:ascii="Times New Roman" w:hAnsi="Times New Roman" w:cs="Times New Roman" w:asciiTheme="majorBidi" w:cstheme="majorBidi" w:hAnsiTheme="majorBidi"/>
              </w:rPr>
            </w:pPr>
            <w:r>
              <w:rPr>
                <w:rFonts w:cs="Times New Roman" w:ascii="Times New Roman" w:hAnsi="Times New Roman" w:asciiTheme="majorBidi" w:cstheme="majorBidi" w:hAnsiTheme="majorBidi"/>
              </w:rPr>
              <w:t>1000</w:t>
            </w:r>
          </w:p>
        </w:tc>
      </w:tr>
    </w:tbl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ТМ</w:t>
      </w:r>
      <w:r>
        <w:rPr>
          <w:rFonts w:cs="Times New Roman" w:ascii="Times New Roman" w:hAnsi="Times New Roman" w:asciiTheme="majorBidi" w:cstheme="majorBidi" w:hAnsiTheme="majorBidi"/>
        </w:rPr>
        <w:t xml:space="preserve">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так 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Для затрат на приобретение товаров и услуг (ЗПТиУ), исходя из принадлежности предлагаемых моделей ДОД к естественнонаучной направленности программ данный коэффициент </w:t>
      </w:r>
      <w:r>
        <w:rPr>
          <w:rFonts w:cs="Times New Roman" w:ascii="Times New Roman" w:hAnsi="Times New Roman" w:asciiTheme="majorBidi" w:cstheme="majorBidi" w:hAnsiTheme="majorBidi"/>
          <w:b/>
          <w:bCs/>
        </w:rPr>
        <w:t>1,89</w:t>
      </w:r>
      <w:r>
        <w:rPr>
          <w:rFonts w:cs="Times New Roman" w:ascii="Times New Roman" w:hAnsi="Times New Roman" w:asciiTheme="majorBidi" w:cstheme="majorBidi" w:hAnsiTheme="majorBidi"/>
        </w:rPr>
        <w:t>.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ПО</w:t>
      </w:r>
      <w:r>
        <w:rPr>
          <w:rFonts w:cs="Times New Roman" w:ascii="Times New Roman" w:hAnsi="Times New Roman" w:asciiTheme="majorBidi" w:cstheme="majorBidi" w:hAnsiTheme="majorBidi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Нормативные затраты (НЗ) в расчете на одного обучающегося рассчитываются как: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 xml:space="preserve">НЗ = </w:t>
      </w:r>
      <w:bookmarkStart w:id="1" w:name="_Hlk37834600"/>
      <w:r>
        <w:rPr>
          <w:rFonts w:cs="Times New Roman" w:ascii="Times New Roman" w:hAnsi="Times New Roman" w:asciiTheme="majorBidi" w:cstheme="majorBidi" w:hAnsiTheme="majorBidi"/>
          <w:b/>
          <w:bCs/>
        </w:rPr>
        <w:t xml:space="preserve">ЗОТПР + ЗОТДР </w:t>
      </w:r>
      <w:bookmarkEnd w:id="1"/>
      <w:r>
        <w:rPr>
          <w:rFonts w:cs="Times New Roman" w:ascii="Times New Roman" w:hAnsi="Times New Roman" w:asciiTheme="majorBidi" w:cstheme="majorBidi" w:hAnsiTheme="majorBidi"/>
          <w:b/>
          <w:bCs/>
        </w:rPr>
        <w:t>+ ЗПТиУ, где: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ЗПТиУ - затраты на приобретение товаров и услуг.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cstheme="majorBidi" w:ascii="Times New Roman" w:hAnsi="Times New Roman"/>
        </w:rPr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</w:rPr>
        <w:t>ЗОТПР</w:t>
      </w:r>
      <w:r>
        <w:rPr>
          <w:rFonts w:cs="Times New Roman" w:ascii="Times New Roman" w:hAnsi="Times New Roman" w:asciiTheme="majorBidi" w:cstheme="majorBidi" w:hAnsiTheme="majorBidi"/>
          <w:bCs/>
        </w:rPr>
        <w:t xml:space="preserve"> = ЗП * 12 * 1,302 / 16,5 / 600, где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12 – количество месяцев;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16,5 – численность обучающихся на единицу педагогического работника, получена расчетно по формуле:</w:t>
      </w:r>
    </w:p>
    <w:p>
      <w:pPr>
        <w:pStyle w:val="Normal"/>
        <w:spacing w:lineRule="auto" w:line="360"/>
        <w:ind w:firstLine="708"/>
        <w:jc w:val="center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16,5 = 720 / 600 * 13,75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720 – максимальная нагрузка педагога дополнительного образования детей, в соответствии с</w:t>
      </w:r>
      <w:r>
        <w:rPr>
          <w:rFonts w:cs="Times New Roman" w:ascii="Times New Roman" w:hAnsi="Times New Roman" w:asciiTheme="majorBidi" w:cstheme="majorBidi" w:hAnsiTheme="majorBidi"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  <w:bCs/>
        </w:rPr>
        <w:t>Приказом 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приказ МОН от 22 декабря 2014 г. № 1601);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13,75 – количество человек в группе;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600 – количество часов занятий в год одного ребенка, расчетно по формуле: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600 = 50 * 12,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50 – количество полных рабочих недель в году (количество рабочих дней / 5);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bCs/>
        </w:rPr>
      </w:pPr>
      <w:r>
        <w:rPr>
          <w:rFonts w:cs="Times New Roman" w:ascii="Times New Roman" w:hAnsi="Times New Roman" w:asciiTheme="majorBidi" w:cstheme="majorBidi" w:hAnsiTheme="majorBidi"/>
          <w:bCs/>
        </w:rPr>
        <w:t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>ЗОТДР = ЗОТПР * 0,4 / (1 – 0,4) * 0,335, где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0,4 – доля оплаты АУП и вспомогательного персонала в общем ФОТ учреждения, в соответствии с п. 10(2) положения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cstheme="majorBidi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 w:asciiTheme="majorBidi" w:cstheme="majorBidi" w:hAnsiTheme="majorBidi"/>
          <w:i/>
          <w:i/>
        </w:rPr>
      </w:pPr>
      <w:r>
        <w:rPr>
          <w:rFonts w:cs="Times New Roman" w:ascii="Times New Roman" w:hAnsi="Times New Roman" w:asciiTheme="majorBidi" w:cstheme="majorBidi" w:hAnsiTheme="majorBidi"/>
          <w:i/>
        </w:rPr>
        <w:t xml:space="preserve">Затраты на приобретение товаров и услуг (ЗПТиУ), включают: 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формирование в установленном порядке резерва на  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проведение периодических медицинских осмотров;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котельно–печное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содержание объектов недвижимого имущества (в том числе затраты на арендные платежи);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содержание объектов недвижимого имущества (в том числе затраты на арендные платежи);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>
      <w:pPr>
        <w:pStyle w:val="Normal"/>
        <w:numPr>
          <w:ilvl w:val="0"/>
          <w:numId w:val="11"/>
        </w:numPr>
        <w:spacing w:lineRule="auto" w:line="360"/>
        <w:ind w:left="0" w:firstLine="709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>
      <w:pPr>
        <w:pStyle w:val="Normal"/>
        <w:spacing w:lineRule="auto" w:line="360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cstheme="majorBidi" w:ascii="Times New Roman" w:hAnsi="Times New Roman"/>
        </w:rPr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ЗПТиУ определяются в соответствии со следующей формулой: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  <w:i/>
          <w:iCs/>
        </w:rPr>
        <w:t>ЗПТиУ = (ЗОТПР + ЗОТДР) * 0,13 / (1 – 0,13)</w:t>
      </w:r>
      <w:r>
        <w:rPr>
          <w:rFonts w:cs="Times New Roman" w:ascii="Times New Roman" w:hAnsi="Times New Roman" w:asciiTheme="majorBidi" w:cstheme="majorBidi" w:hAnsiTheme="majorBidi"/>
          <w:b/>
          <w:bCs/>
        </w:rPr>
        <w:t>, где: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cstheme="majorBidi" w:ascii="Times New Roman" w:hAnsi="Times New Roman"/>
        </w:rPr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0,13 – доля затраты на приобретение товаров и услуг в составе базового норматива затрат.</w:t>
      </w:r>
    </w:p>
    <w:p>
      <w:pPr>
        <w:pStyle w:val="Normal"/>
        <w:spacing w:lineRule="auto" w:line="360"/>
        <w:jc w:val="right"/>
        <w:rPr>
          <w:rFonts w:ascii="Times New Roman" w:hAnsi="Times New Roman" w:cs="Times New Roman" w:asciiTheme="majorBidi" w:cstheme="majorBidi" w:hAnsiTheme="majorBidi"/>
          <w:b/>
          <w:b/>
          <w:bCs/>
          <w:szCs w:val="28"/>
        </w:rPr>
      </w:pPr>
      <w:r>
        <w:rPr>
          <w:rFonts w:cs="Times New Roman" w:cstheme="majorBidi" w:ascii="Times New Roman" w:hAnsi="Times New Roman"/>
          <w:b/>
          <w:bCs/>
          <w:szCs w:val="28"/>
        </w:rPr>
      </w:r>
    </w:p>
    <w:p>
      <w:pPr>
        <w:pStyle w:val="Normal"/>
        <w:rPr>
          <w:rFonts w:ascii="Times New Roman" w:hAnsi="Times New Roman" w:cs="Times New Roman" w:asciiTheme="majorBidi" w:cstheme="majorBidi" w:hAnsiTheme="majorBidi"/>
          <w:b/>
          <w:b/>
          <w:bCs/>
          <w:szCs w:val="28"/>
        </w:rPr>
      </w:pPr>
      <w:r>
        <w:rPr>
          <w:rFonts w:cs="Times New Roman" w:cstheme="majorBidi" w:ascii="Times New Roman" w:hAnsi="Times New Roman"/>
          <w:b/>
          <w:bCs/>
          <w:szCs w:val="28"/>
        </w:rPr>
      </w:r>
      <w:r>
        <w:br w:type="page"/>
      </w:r>
    </w:p>
    <w:p>
      <w:pPr>
        <w:pStyle w:val="Normal"/>
        <w:spacing w:lineRule="auto" w:line="360"/>
        <w:jc w:val="right"/>
        <w:rPr>
          <w:rFonts w:ascii="Times New Roman" w:hAnsi="Times New Roman" w:cs="Times New Roman" w:asciiTheme="majorBidi" w:cstheme="majorBidi" w:hAnsiTheme="majorBidi"/>
          <w:b/>
          <w:b/>
          <w:bCs/>
          <w:szCs w:val="28"/>
        </w:rPr>
      </w:pPr>
      <w:r>
        <w:rPr>
          <w:rFonts w:cs="Times New Roman" w:ascii="Times New Roman" w:hAnsi="Times New Roman" w:asciiTheme="majorBidi" w:cstheme="majorBidi" w:hAnsiTheme="majorBidi"/>
          <w:b/>
          <w:bCs/>
          <w:szCs w:val="28"/>
        </w:rPr>
        <w:t>Приложение 7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lineRule="auto" w:line="360"/>
        <w:ind w:firstLine="709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 xml:space="preserve">Примерные перечни средств обучения и воспитания </w:t>
      </w:r>
    </w:p>
    <w:p>
      <w:pPr>
        <w:pStyle w:val="Normal"/>
        <w:spacing w:lineRule="auto" w:line="360"/>
        <w:ind w:firstLine="709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типовой модели «Диалог наук»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Универсальное оборудование:</w:t>
      </w:r>
    </w:p>
    <w:p>
      <w:pPr>
        <w:pStyle w:val="ListParagraph"/>
        <w:numPr>
          <w:ilvl w:val="0"/>
          <w:numId w:val="25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АРМ педагога</w:t>
      </w:r>
    </w:p>
    <w:p>
      <w:pPr>
        <w:pStyle w:val="ListParagraph"/>
        <w:numPr>
          <w:ilvl w:val="0"/>
          <w:numId w:val="25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АРМ ученика</w:t>
      </w:r>
    </w:p>
    <w:p>
      <w:pPr>
        <w:pStyle w:val="ListParagraph"/>
        <w:numPr>
          <w:ilvl w:val="0"/>
          <w:numId w:val="25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учебной оргтехники: сканер, принтер цветной, веб-камеры, МФУ, точка доступа, коммутационное оборудование</w:t>
      </w:r>
    </w:p>
    <w:p>
      <w:pPr>
        <w:pStyle w:val="ListParagraph"/>
        <w:numPr>
          <w:ilvl w:val="0"/>
          <w:numId w:val="25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учебной канцелярии: бумага, ножницы, карандаши, ручки, готовальня, клей и др.</w:t>
      </w:r>
    </w:p>
    <w:p>
      <w:pPr>
        <w:pStyle w:val="ListParagraph"/>
        <w:numPr>
          <w:ilvl w:val="0"/>
          <w:numId w:val="25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«Демонстрационное оборудование»: мультимедийный проектор, экран, ЖК-панель, интерактивная панель, магнитно-маркерная доска и др;</w:t>
      </w:r>
    </w:p>
    <w:p>
      <w:pPr>
        <w:pStyle w:val="ListParagraph"/>
        <w:numPr>
          <w:ilvl w:val="0"/>
          <w:numId w:val="25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мебели: столы, стулья, столы лабораторные, шкафы для хранения и учебных коллекций и др.</w:t>
      </w:r>
    </w:p>
    <w:p>
      <w:pPr>
        <w:pStyle w:val="ListParagraph"/>
        <w:numPr>
          <w:ilvl w:val="0"/>
          <w:numId w:val="25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Комплекты индивидуальной защиты: халаты, защитные очки и т.д.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… 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Специальное оборудование: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Демонстрационные стенды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учебно-методических материалов и пособий: «Биосфера», «Человек и его здоровье», «Наноматериалы», «Почва и ее состав»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Учебные коллекции материалов: минералы, нефтепродукты, 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Лаборатория для химико-аналитических работ (вытяжной шкаф с вентиляцией и подачей холодной воды, штативы металлические, насос Камовского, сушильный шкаф, термостат лабораторный, весы технические (аптекарские) с измерением до 100 г; весы торсионные, водяная баня, термометры и др., стеклянные воронки, бюксы, чашки Петри, мерные цилиндры и химические стаканы; аппарат Сокслета, колбы Вюрца, стеклянные холодильники Либиха, колбы круглодонные и для титрования, мерные пипетки, бюретки и другое стеклянное оборудование; химически чистые и технические реактивы, фильтровальная бумага, резиновые шланги и груши) и др;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Онлайн-лаборатория - программный продукт и УМК для проведения учебных исследовательских проектов, практикумов, лабораторных и демонстрационных экспериментов с возможностью многопользовательской сетевой работы и централизованным хранилищем результатов работ и данных;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Мультимедийный 2D комплекс для использования при обучении физике, химии и биологии, а также для углубления знаний по этим предметам, для формирования представлений о единой естественнонаучной картине мира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Комплект учебно-лабораторного оборудования и УМК «Ранцевая полевая лаборатория» 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учебно-лабораторного оборудования и УМК «Санитарно-пищевая мини-экспресс-лаборатория учебная»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Лабораторные комплексы и УМК для учебной практической и проектной деятельности по естественнонаучным дисциплинам (химия, физика, биология естествознание)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навигации для полевых исследований (приборы спутниковой навигации, компасы, бинокли и др.)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фото- видео-фиксации: портативная фотокамера, экш-камеры, видеокамеры портативные, квадрокоптер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«Гербаризация растений»: гербарные прессы, папки, сушка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для сбора материалов (водные сачки, энтомологические ловушки, садки и др.)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измерительных приборов (кондуктометр, барометр, гигрометр, термометры с диапазоном измерения от -50 до + 50º С, анемометр ручной или электронный цифровой для измерения скорости ветра и комплексная электронная метеостанция и др.).</w:t>
        <w:tab/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«Аквариум/террариум»: банка, рыбы, пресмыкающиеся, аксессуары, тумба, модули совместного выращивания рыбы и гидропоники, фитобокс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«Виртуальная и дополненная реальность»: шлем, очки, программное обеспечение, смартфон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«Аддитивные технологии»: З</w:t>
      </w:r>
      <w:r>
        <w:rPr>
          <w:rFonts w:cs="Times New Roman" w:ascii="Times New Roman" w:hAnsi="Times New Roman"/>
          <w:lang w:val="en-US"/>
        </w:rPr>
        <w:t>D</w:t>
      </w:r>
      <w:r>
        <w:rPr>
          <w:rFonts w:cs="Times New Roman" w:ascii="Times New Roman" w:hAnsi="Times New Roman"/>
        </w:rPr>
        <w:t>-принтер двухэкструдерный, З</w:t>
      </w:r>
      <w:r>
        <w:rPr>
          <w:rFonts w:cs="Times New Roman" w:ascii="Times New Roman" w:hAnsi="Times New Roman"/>
          <w:lang w:val="en-US"/>
        </w:rPr>
        <w:t>D</w:t>
      </w:r>
      <w:r>
        <w:rPr>
          <w:rFonts w:cs="Times New Roman" w:ascii="Times New Roman" w:hAnsi="Times New Roman"/>
        </w:rPr>
        <w:t>-сканер, расходные материалы и т.д.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«Микромир»: микроскоп световой, цифровой USB-микроскоп, микроскоп стереоскопический (бинокуляр), набор аксессуаров, расходники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Комплект измерительных исследовательских приборов: лупа лабораторная, люминоскоп, фалендоскоп, портативный измеритель температуры, влаги и кислотности почв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Комплекс «Изучение воды»: средства физико-химического анализа воды, средства для биологического анализа воды и др.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Комплекс «Изучение воздуха».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Комплекс «Медицина».</w:t>
      </w:r>
    </w:p>
    <w:p>
      <w:pPr>
        <w:pStyle w:val="ListParagraph"/>
        <w:numPr>
          <w:ilvl w:val="0"/>
          <w:numId w:val="26"/>
        </w:numPr>
        <w:spacing w:lineRule="auto" w:line="360"/>
        <w:ind w:left="0"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др.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0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sz w:val="24"/>
          <w:szCs w:val="24"/>
        </w:rPr>
      </w:pPr>
      <w:r>
        <w:rPr>
          <w:rFonts w:cs="Times New Roman" w:ascii="Times New Roman" w:hAnsi="Times New Roman" w:asciiTheme="majorBidi" w:cstheme="majorBidi" w:hAnsiTheme="majorBidi"/>
          <w:sz w:val="24"/>
          <w:szCs w:val="24"/>
        </w:rPr>
        <w:t>Точные количество и состав средств обучения и воспитания рассчитывается 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обеспечивая необходимые гарантии качества и доступности материально-технического обеспечения программ новых мест.</w:t>
      </w:r>
    </w:p>
    <w:p>
      <w:pPr>
        <w:pStyle w:val="Style30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  <w:sz w:val="24"/>
          <w:szCs w:val="24"/>
        </w:rPr>
      </w:pPr>
      <w:r>
        <w:rPr>
          <w:rFonts w:cs="Times New Roman" w:ascii="Times New Roman" w:hAnsi="Times New Roman" w:asciiTheme="majorBidi" w:cstheme="majorBidi" w:hAnsi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cstheme="majorBidi" w:ascii="Times New Roman" w:hAnsi="Times New Roman"/>
        </w:rPr>
      </w:r>
      <w:r>
        <w:br w:type="page"/>
      </w:r>
    </w:p>
    <w:p>
      <w:pPr>
        <w:pStyle w:val="Normal"/>
        <w:jc w:val="right"/>
        <w:rPr>
          <w:rFonts w:ascii="Times New Roman" w:hAnsi="Times New Roman" w:cs="Times New Roman" w:asciiTheme="majorBidi" w:cstheme="majorBidi" w:hAnsiTheme="majorBidi"/>
          <w:b/>
          <w:b/>
        </w:rPr>
      </w:pPr>
      <w:r>
        <w:rPr>
          <w:rFonts w:cs="Times New Roman" w:ascii="Times New Roman" w:hAnsi="Times New Roman" w:asciiTheme="majorBidi" w:cstheme="majorBidi" w:hAnsiTheme="majorBidi"/>
          <w:b/>
        </w:rPr>
        <w:t>Приложение 8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cstheme="majorBidi" w:ascii="Times New Roman" w:hAnsi="Times New Roman"/>
          <w:b/>
          <w:bCs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 w:asciiTheme="majorBidi" w:cstheme="majorBidi" w:hAnsiTheme="majorBidi"/>
          <w:b/>
          <w:b/>
          <w:bCs/>
        </w:rPr>
      </w:pPr>
      <w:r>
        <w:rPr>
          <w:rFonts w:cs="Times New Roman" w:ascii="Times New Roman" w:hAnsi="Times New Roman" w:asciiTheme="majorBidi" w:cstheme="majorBidi" w:hAnsiTheme="majorBidi"/>
          <w:b/>
          <w:bCs/>
        </w:rPr>
        <w:t>Брендирование и фирменный стиль типовой модели «Диалог наук»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Логотипы, содержащие простые геометрические формы, легко воспринимаются глазом и хорошо запоминаются.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Охранное поле составляет значение диаметра большого круга из знака.</w:t>
        <w:br/>
        <w:t xml:space="preserve">В пределы охранного поля не должны попадать другие активные элементы графики. 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 xml:space="preserve">Предусмотрено два основных направления типографики на основе тонкого или жирного начертания. Тонкое начертание используется для имиджевых материалов, печатной продукции и web. </w:t>
      </w:r>
    </w:p>
    <w:p>
      <w:pPr>
        <w:pStyle w:val="Normal"/>
        <w:spacing w:lineRule="auto" w:line="360"/>
        <w:ind w:firstLine="708"/>
        <w:jc w:val="both"/>
        <w:rPr>
          <w:rFonts w:ascii="Times New Roman" w:hAnsi="Times New Roman" w:cs="Times New Roman" w:asciiTheme="majorBidi" w:cstheme="majorBidi" w:hAnsiTheme="majorBidi"/>
        </w:rPr>
      </w:pPr>
      <w:r>
        <w:rPr>
          <w:rFonts w:cs="Times New Roman" w:ascii="Times New Roman" w:hAnsi="Times New Roman" w:asciiTheme="majorBidi" w:cstheme="majorBidi" w:hAnsiTheme="majorBidi"/>
        </w:rPr>
        <w:t>Типографика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>
      <w:pPr>
        <w:pStyle w:val="Normal"/>
        <w:spacing w:lineRule="auto" w:line="360"/>
        <w:ind w:firstLine="709"/>
        <w:rPr>
          <w:rFonts w:ascii="Times New Roman" w:hAnsi="Times New Roman" w:eastAsia="Times New Roman" w:cs="Times New Roman" w:asciiTheme="majorBidi" w:cstheme="majorBidi" w:hAnsiTheme="majorBidi"/>
          <w:lang w:eastAsia="zh-CN"/>
        </w:rPr>
      </w:pPr>
      <w:r>
        <w:rPr>
          <w:rFonts w:eastAsia="Times New Roman" w:cs="Times New Roman" w:ascii="Times New Roman" w:hAnsi="Times New Roman" w:asciiTheme="majorBidi" w:cstheme="majorBidi" w:hAnsiTheme="majorBidi"/>
          <w:lang w:eastAsia="zh-CN"/>
        </w:rPr>
        <w:t xml:space="preserve">Во всей документации используется шрифт PF BeauSans Pro. </w:t>
      </w:r>
    </w:p>
    <w:p>
      <w:pPr>
        <w:pStyle w:val="Normal"/>
        <w:spacing w:lineRule="auto" w:line="360"/>
        <w:ind w:firstLine="709"/>
        <w:rPr>
          <w:rFonts w:ascii="Times New Roman" w:hAnsi="Times New Roman" w:eastAsia="Times New Roman" w:cs="Times New Roman" w:asciiTheme="majorBidi" w:cstheme="majorBidi" w:hAnsiTheme="majorBidi"/>
          <w:lang w:eastAsia="zh-CN"/>
        </w:rPr>
      </w:pPr>
      <w:r>
        <w:rPr>
          <w:rFonts w:eastAsia="Times New Roman" w:cs="Times New Roman" w:ascii="Times New Roman" w:hAnsi="Times New Roman" w:asciiTheme="majorBidi" w:cstheme="majorBidi" w:hAnsiTheme="majorBidi"/>
          <w:lang w:eastAsia="zh-CN"/>
        </w:rPr>
        <w:t xml:space="preserve">В фирменном стиле используется шесть начертаний. </w:t>
      </w:r>
    </w:p>
    <w:p>
      <w:pPr>
        <w:pStyle w:val="Normal"/>
        <w:spacing w:beforeAutospacing="1" w:afterAutospacing="1"/>
        <w:rPr>
          <w:rFonts w:ascii="PFBeauSansPro" w:hAnsi="PFBeauSansPro" w:eastAsia="Times New Roman" w:cs="Times New Roman"/>
          <w:sz w:val="76"/>
          <w:szCs w:val="76"/>
          <w:lang w:eastAsia="zh-CN"/>
        </w:rPr>
      </w:pPr>
      <w:r>
        <w:rPr>
          <w:rFonts w:eastAsia="Times New Roman" w:cs="Times New Roman" w:ascii="PFBeauSansPro" w:hAnsi="PFBeauSansPro"/>
          <w:sz w:val="76"/>
          <w:szCs w:val="76"/>
          <w:lang w:eastAsia="zh-CN"/>
        </w:rPr>
        <w:t>ABCDEFGHIJKLMNOPQRSTUVWXYZА ВГДЕЁЖЗИЙКЛМНОПРСТУФХЦЧШЩЪ ЫЬЭЮЯ</w:t>
        <w:br/>
        <w:t xml:space="preserve">1234567890 (.,:;!?&amp;$%No) </w:t>
      </w:r>
    </w:p>
    <w:p>
      <w:pPr>
        <w:pStyle w:val="Normal"/>
        <w:jc w:val="center"/>
        <w:rPr/>
      </w:pPr>
      <w:r>
        <w:rPr/>
        <w:drawing>
          <wp:inline distT="0" distB="1905" distL="0" distR="0">
            <wp:extent cx="4499610" cy="4164330"/>
            <wp:effectExtent l="0" t="0" r="0" b="0"/>
            <wp:docPr id="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52975" cy="4752975"/>
            <wp:effectExtent l="0" t="0" r="0" b="0"/>
            <wp:docPr id="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2540" distL="0" distR="0">
            <wp:extent cx="5936615" cy="3959860"/>
            <wp:effectExtent l="0" t="0" r="0" b="0"/>
            <wp:docPr id="6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291205" cy="4789170"/>
            <wp:effectExtent l="0" t="0" r="0" b="0"/>
            <wp:docPr id="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3810" distL="0" distR="0">
            <wp:extent cx="5936615" cy="3844290"/>
            <wp:effectExtent l="0" t="0" r="0" b="0"/>
            <wp:docPr id="8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36615" cy="4155440"/>
            <wp:effectExtent l="0" t="0" r="0" b="0"/>
            <wp:docPr id="9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36615" cy="4155440"/>
            <wp:effectExtent l="0" t="0" r="0" b="0"/>
            <wp:docPr id="10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4445" distL="0" distR="0">
            <wp:extent cx="5936615" cy="3843655"/>
            <wp:effectExtent l="0" t="0" r="0" b="0"/>
            <wp:docPr id="11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1270" distL="0" distR="0">
            <wp:extent cx="5936615" cy="5129530"/>
            <wp:effectExtent l="0" t="0" r="0" b="0"/>
            <wp:docPr id="1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905" distL="0" distR="0">
            <wp:extent cx="5936615" cy="4773295"/>
            <wp:effectExtent l="0" t="0" r="0" b="0"/>
            <wp:docPr id="13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0">
            <wp:extent cx="5936615" cy="5241925"/>
            <wp:effectExtent l="0" t="0" r="0" b="0"/>
            <wp:docPr id="14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05500" cy="4076700"/>
            <wp:effectExtent l="0" t="0" r="0" b="0"/>
            <wp:docPr id="1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3175" distL="0" distR="0">
            <wp:extent cx="5936615" cy="3959860"/>
            <wp:effectExtent l="0" t="0" r="0" b="0"/>
            <wp:docPr id="16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30"/>
      <w:footnotePr>
        <w:numFmt w:val="decimal"/>
      </w:footnotePr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FBeauSansPro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fixed"/>
  </w:font>
  <w:font w:name="Wingdings">
    <w:charset w:val="02"/>
    <w:family w:val="auto"/>
    <w:pitch w:val="default"/>
  </w:font>
  <w:font w:name="Times New Roman"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966824608"/>
    </w:sdtPr>
    <w:sdtContent>
      <w:p>
        <w:pPr>
          <w:pStyle w:val="Style32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34</w:t>
        </w:r>
        <w:r>
          <w:rPr/>
          <w:fldChar w:fldCharType="end"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99432638"/>
    </w:sdtPr>
    <w:sdtContent>
      <w:p>
        <w:pPr>
          <w:pStyle w:val="Style32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95</w:t>
        </w:r>
        <w:r>
          <w:rPr/>
          <w:fldChar w:fldCharType="end"/>
        </w:r>
      </w:p>
    </w:sdtContent>
  </w:sdt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30"/>
        <w:rPr/>
      </w:pPr>
      <w:r>
        <w:rPr>
          <w:rStyle w:val="Style21"/>
        </w:rPr>
        <w:footnoteRef/>
      </w:r>
      <w:r>
        <w:rPr>
          <w:rStyle w:val="FootnoteCharacters"/>
        </w:rPr>
        <w:tab/>
      </w:r>
      <w:r>
        <w:rPr/>
        <w:t xml:space="preserve"> </w:t>
      </w:r>
      <w:r>
        <w:rPr>
          <w:rFonts w:cs="Times New Roman" w:ascii="Times New Roman" w:hAnsi="Times New Roman"/>
        </w:rPr>
        <w:t>Подробнее о решениях в разделе «Основные требования к создаваемой инфраструктуре».</w:t>
      </w:r>
    </w:p>
  </w:footnote>
  <w:footnote w:id="3">
    <w:p>
      <w:pPr>
        <w:pStyle w:val="Style30"/>
        <w:jc w:val="both"/>
        <w:rPr/>
      </w:pPr>
      <w:r>
        <w:rPr>
          <w:rStyle w:val="Style21"/>
        </w:rPr>
        <w:footnoteRef/>
      </w:r>
      <w:r>
        <w:rPr>
          <w:rStyle w:val="FootnoteCharacters"/>
          <w:rFonts w:cs="Times New Roman" w:ascii="Times New Roman" w:hAnsi="Times New Roman"/>
        </w:rPr>
        <w:tab/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Универсальные компетентности и новая грамотность: от лозунгов к реальности. Под ред. М.С. Добряковой, И.Д. Фрумина, при участии К.А. Баранникова, Н. Зиила, Дж. Мосс, И.М. Реморенко, Я. Хаутамяки ; Нац. исслед. ун-т «Высшая школа экономики». — М.: Изд. дом Высшей школы экономики, 2020</w:t>
      </w:r>
    </w:p>
  </w:footnote>
  <w:footnote w:id="4">
    <w:p>
      <w:pPr>
        <w:pStyle w:val="Style30"/>
        <w:rPr/>
      </w:pPr>
      <w:r>
        <w:rPr>
          <w:rStyle w:val="Style21"/>
        </w:rPr>
        <w:footnoteRef/>
      </w:r>
      <w:r>
        <w:rPr>
          <w:rStyle w:val="FootnoteCharacters"/>
        </w:rPr>
        <w:tab/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Распоряжение Правительства РФ от 04 сентября 2014 г. № 1726-р, раздел IV</w:t>
      </w:r>
    </w:p>
  </w:footnote>
  <w:footnote w:id="5">
    <w:p>
      <w:pPr>
        <w:pStyle w:val="Style30"/>
        <w:jc w:val="both"/>
        <w:rPr/>
      </w:pPr>
      <w:r>
        <w:rPr>
          <w:rStyle w:val="Style21"/>
        </w:rPr>
        <w:footnoteRef/>
      </w:r>
      <w:r>
        <w:rPr>
          <w:rStyle w:val="FootnoteCharacters"/>
          <w:rFonts w:cs="Times New Roman" w:ascii="Times New Roman" w:hAnsi="Times New Roman" w:asciiTheme="majorBidi" w:cstheme="majorBidi" w:hAnsiTheme="majorBidi"/>
        </w:rPr>
        <w:tab/>
      </w:r>
      <w:r>
        <w:rPr>
          <w:rFonts w:cs="Times New Roman" w:ascii="Times New Roman" w:hAnsi="Times New Roman" w:asciiTheme="majorBidi" w:cstheme="majorBidi" w:hAnsiTheme="majorBidi"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</w:rPr>
        <w:t>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</w:footnote>
  <w:footnote w:id="6">
    <w:p>
      <w:pPr>
        <w:pStyle w:val="Style30"/>
        <w:jc w:val="both"/>
        <w:rPr/>
      </w:pPr>
      <w:r>
        <w:rPr>
          <w:rStyle w:val="Style21"/>
        </w:rPr>
        <w:footnoteRef/>
      </w:r>
      <w:r>
        <w:rPr>
          <w:rStyle w:val="FootnoteCharacters"/>
        </w:rPr>
        <w:tab/>
      </w:r>
      <w:r>
        <w:rPr/>
        <w:t xml:space="preserve"> </w:t>
      </w:r>
      <w:r>
        <w:rPr>
          <w:rFonts w:cs="Times New Roman" w:ascii="Times New Roman" w:hAnsi="Times New Roman" w:asciiTheme="majorBidi" w:cstheme="majorBidi" w:hAnsiTheme="majorBidi"/>
        </w:rPr>
        <w:t>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7">
    <w:p>
      <w:pPr>
        <w:pStyle w:val="Style30"/>
        <w:jc w:val="both"/>
        <w:rPr/>
      </w:pPr>
      <w:r>
        <w:rPr>
          <w:rStyle w:val="Style21"/>
        </w:rPr>
        <w:footnoteRef/>
      </w:r>
      <w:r>
        <w:rPr>
          <w:rStyle w:val="FootnoteCharacters"/>
          <w:rFonts w:cs="Times New Roman" w:ascii="Times New Roman" w:hAnsi="Times New Roman" w:asciiTheme="majorBidi" w:cstheme="majorBidi" w:hAnsiTheme="majorBidi"/>
        </w:rPr>
        <w:tab/>
      </w:r>
      <w:r>
        <w:rPr>
          <w:rFonts w:cs="Times New Roman" w:ascii="Times New Roman" w:hAnsi="Times New Roman" w:asciiTheme="majorBidi" w:cstheme="majorBidi" w:hAnsiTheme="majorBidi"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</w:rPr>
        <w:t>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8">
    <w:p>
      <w:pPr>
        <w:pStyle w:val="Style30"/>
        <w:jc w:val="both"/>
        <w:rPr/>
      </w:pPr>
      <w:r>
        <w:rPr>
          <w:rStyle w:val="Style21"/>
        </w:rPr>
        <w:footnoteRef/>
      </w:r>
      <w:r>
        <w:rPr>
          <w:rStyle w:val="FootnoteCharacters"/>
          <w:rFonts w:cs="Times New Roman" w:ascii="Times New Roman" w:hAnsi="Times New Roman" w:asciiTheme="majorBidi" w:cstheme="majorBidi" w:hAnsiTheme="majorBidi"/>
        </w:rPr>
        <w:tab/>
      </w:r>
      <w:r>
        <w:rPr>
          <w:rFonts w:cs="Times New Roman" w:ascii="Times New Roman" w:hAnsi="Times New Roman" w:asciiTheme="majorBidi" w:cstheme="majorBidi" w:hAnsiTheme="majorBidi"/>
        </w:rPr>
        <w:t xml:space="preserve"> </w:t>
      </w:r>
      <w:r>
        <w:rPr>
          <w:rFonts w:cs="Times New Roman" w:ascii="Times New Roman" w:hAnsi="Times New Roman" w:asciiTheme="majorBidi" w:cstheme="majorBidi" w:hAnsiTheme="majorBidi"/>
        </w:rPr>
        <w:t>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34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994"/>
        </w:tabs>
        <w:ind w:left="654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994"/>
        </w:tabs>
        <w:ind w:left="654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2094"/>
        </w:tabs>
        <w:ind w:left="0" w:hanging="-1758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814"/>
        </w:tabs>
        <w:ind w:left="2814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560"/>
        </w:tabs>
        <w:ind w:left="766" w:hanging="-51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•"/>
      <w:lvlJc w:val="left"/>
      <w:pPr>
        <w:ind w:left="1788" w:hanging="708"/>
      </w:pPr>
      <w:rPr>
        <w:rFonts w:ascii="Times New Roman" w:hAnsi="Times New Roman" w:cs="Times New Roman" w:hint="default"/>
        <w:rFonts w:cs="Times New Roman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9">
    <w:lvl w:ilvl="0">
      <w:start w:val="1"/>
      <w:numFmt w:val="bullet"/>
      <w:lvlText w:val="•"/>
      <w:lvlJc w:val="left"/>
      <w:pPr>
        <w:ind w:left="1060" w:hanging="70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  <w:rFonts w:cs="Wingdings"/>
      </w:rPr>
    </w:lvl>
  </w:abstractNum>
  <w:abstractNum w:abstractNumId="12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lvl w:ilvl="0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0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rFonts w:cs="Times New Roman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rFonts w:cs="Times New Roman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6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7"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lvl w:ilvl="0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  <w:rFonts w:cs="Wingdings"/>
      </w:rPr>
    </w:lvl>
  </w:abstractNum>
  <w:abstractNum w:abstractNumId="29"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w="http://schemas.openxmlformats.org/wordprocessingml/2006/main">
  <w:zoom w:percent="27"/>
  <w:defaultTabStop w:val="708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zh-CN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等线" w:cs="Arial" w:asciiTheme="minorHAnsi" w:cstheme="minorBidi" w:eastAsiaTheme="minorEastAsia" w:hAnsiTheme="minorHAnsi"/>
        <w:sz w:val="24"/>
        <w:szCs w:val="24"/>
        <w:lang w:val="ru-RU" w:eastAsia="zh-CN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d14d5"/>
    <w:pPr>
      <w:widowControl/>
      <w:bidi w:val="0"/>
      <w:jc w:val="left"/>
    </w:pPr>
    <w:rPr>
      <w:rFonts w:eastAsia="Calibri" w:eastAsiaTheme="minorHAnsi" w:ascii="Calibri" w:hAnsi="Calibri" w:cs="Arial"/>
      <w:color w:val="auto"/>
      <w:kern w:val="0"/>
      <w:sz w:val="24"/>
      <w:szCs w:val="24"/>
      <w:lang w:eastAsia="en-US" w:val="ru-RU" w:bidi="ar-SA"/>
    </w:rPr>
  </w:style>
  <w:style w:type="paragraph" w:styleId="1">
    <w:name w:val="Heading 1"/>
    <w:basedOn w:val="Normal"/>
    <w:link w:val="10"/>
    <w:qFormat/>
    <w:rsid w:val="00bd3d72"/>
    <w:pPr>
      <w:keepNext w:val="true"/>
      <w:ind w:firstLine="720"/>
      <w:outlineLvl w:val="0"/>
    </w:pPr>
    <w:rPr>
      <w:rFonts w:ascii="Times New Roman" w:hAnsi="Times New Roman" w:eastAsia="Times New Roman" w:cs="Times New Roman"/>
      <w:b/>
      <w:i/>
      <w:sz w:val="20"/>
      <w:szCs w:val="20"/>
      <w:lang w:eastAsia="ru-RU"/>
    </w:rPr>
  </w:style>
  <w:style w:type="paragraph" w:styleId="2">
    <w:name w:val="Heading 2"/>
    <w:basedOn w:val="Normal"/>
    <w:link w:val="20"/>
    <w:uiPriority w:val="9"/>
    <w:semiHidden/>
    <w:unhideWhenUsed/>
    <w:qFormat/>
    <w:rsid w:val="00d954d6"/>
    <w:pPr>
      <w:keepNext w:val="true"/>
      <w:keepLines/>
      <w:spacing w:before="40" w:after="0"/>
      <w:outlineLvl w:val="1"/>
    </w:pPr>
    <w:rPr>
      <w:rFonts w:ascii="Calibri Light" w:hAnsi="Calibri Light" w:eastAsia="等线 Light" w:cs="Times New Roman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3">
    <w:name w:val="Heading 3"/>
    <w:basedOn w:val="Normal"/>
    <w:link w:val="30"/>
    <w:uiPriority w:val="9"/>
    <w:semiHidden/>
    <w:unhideWhenUsed/>
    <w:qFormat/>
    <w:rsid w:val="00e70535"/>
    <w:pPr>
      <w:keepNext w:val="true"/>
      <w:keepLines/>
      <w:spacing w:before="200" w:after="0"/>
      <w:outlineLvl w:val="2"/>
    </w:pPr>
    <w:rPr>
      <w:rFonts w:ascii="Calibri Light" w:hAnsi="Calibri Light" w:eastAsia="等线 Light" w:cs="Times New Roman" w:asciiTheme="majorHAnsi" w:cstheme="majorBidi" w:eastAsiaTheme="majorEastAsia" w:hAnsiTheme="majorHAnsi"/>
      <w:b/>
      <w:bCs/>
      <w:color w:val="4472C4" w:themeColor="accent1"/>
    </w:rPr>
  </w:style>
  <w:style w:type="paragraph" w:styleId="4">
    <w:name w:val="Heading 4"/>
    <w:basedOn w:val="Normal"/>
    <w:link w:val="40"/>
    <w:qFormat/>
    <w:rsid w:val="00bd3d72"/>
    <w:pPr>
      <w:keepNext w:val="true"/>
      <w:jc w:val="center"/>
      <w:outlineLvl w:val="3"/>
    </w:pPr>
    <w:rPr>
      <w:rFonts w:ascii="Times New Roman" w:hAnsi="Times New Roman" w:eastAsia="Times New Roman" w:cs="Times New Roman"/>
      <w:b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Текст выноски Знак"/>
    <w:basedOn w:val="DefaultParagraphFont"/>
    <w:link w:val="a3"/>
    <w:uiPriority w:val="99"/>
    <w:semiHidden/>
    <w:qFormat/>
    <w:rsid w:val="00f2486b"/>
    <w:rPr>
      <w:rFonts w:ascii="Times New Roman" w:hAnsi="Times New Roman" w:eastAsia="Calibri" w:cs="Times New Roman" w:eastAsiaTheme="minorHAnsi"/>
      <w:sz w:val="18"/>
      <w:szCs w:val="18"/>
      <w:lang w:eastAsia="en-US"/>
    </w:rPr>
  </w:style>
  <w:style w:type="character" w:styleId="11" w:customStyle="1">
    <w:name w:val="Заголовок 1 Знак"/>
    <w:basedOn w:val="DefaultParagraphFont"/>
    <w:link w:val="1"/>
    <w:qFormat/>
    <w:rsid w:val="00bd3d72"/>
    <w:rPr>
      <w:rFonts w:ascii="Times New Roman" w:hAnsi="Times New Roman" w:eastAsia="Times New Roman" w:cs="Times New Roman"/>
      <w:b/>
      <w:i/>
      <w:sz w:val="20"/>
      <w:szCs w:val="20"/>
      <w:lang w:eastAsia="ru-RU"/>
    </w:rPr>
  </w:style>
  <w:style w:type="character" w:styleId="41" w:customStyle="1">
    <w:name w:val="Заголовок 4 Знак"/>
    <w:basedOn w:val="DefaultParagraphFont"/>
    <w:link w:val="4"/>
    <w:qFormat/>
    <w:rsid w:val="00bd3d72"/>
    <w:rPr>
      <w:rFonts w:ascii="Times New Roman" w:hAnsi="Times New Roman" w:eastAsia="Times New Roman" w:cs="Times New Roman"/>
      <w:b/>
      <w:szCs w:val="20"/>
      <w:lang w:eastAsia="ru-RU"/>
    </w:rPr>
  </w:style>
  <w:style w:type="character" w:styleId="Style11" w:customStyle="1">
    <w:name w:val="Основной текст Знак"/>
    <w:basedOn w:val="DefaultParagraphFont"/>
    <w:link w:val="a5"/>
    <w:qFormat/>
    <w:rsid w:val="00bd3d72"/>
    <w:rPr>
      <w:rFonts w:ascii="Times New Roman" w:hAnsi="Times New Roman" w:eastAsia="Times New Roman" w:cs="Times New Roman"/>
      <w:szCs w:val="20"/>
      <w:lang w:eastAsia="ru-RU"/>
    </w:rPr>
  </w:style>
  <w:style w:type="character" w:styleId="Style12" w:customStyle="1">
    <w:name w:val="Основной текст с отступом Знак"/>
    <w:basedOn w:val="DefaultParagraphFont"/>
    <w:link w:val="a7"/>
    <w:qFormat/>
    <w:rsid w:val="00bd3d72"/>
    <w:rPr>
      <w:rFonts w:ascii="Times New Roman" w:hAnsi="Times New Roman" w:eastAsia="Times New Roman" w:cs="Times New Roman"/>
      <w:i/>
      <w:sz w:val="20"/>
      <w:szCs w:val="20"/>
      <w:lang w:eastAsia="ru-RU"/>
    </w:rPr>
  </w:style>
  <w:style w:type="character" w:styleId="21" w:customStyle="1">
    <w:name w:val="Основной текст с отступом 2 Знак"/>
    <w:basedOn w:val="DefaultParagraphFont"/>
    <w:link w:val="21"/>
    <w:qFormat/>
    <w:rsid w:val="00bd3d72"/>
    <w:rPr>
      <w:rFonts w:ascii="Times New Roman" w:hAnsi="Times New Roman" w:eastAsia="Times New Roman" w:cs="Times New Roman"/>
      <w:lang w:eastAsia="ru-RU"/>
    </w:rPr>
  </w:style>
  <w:style w:type="character" w:styleId="Style13" w:customStyle="1">
    <w:name w:val="Абзац списка Знак"/>
    <w:link w:val="a9"/>
    <w:uiPriority w:val="34"/>
    <w:qFormat/>
    <w:locked/>
    <w:rsid w:val="00bc064f"/>
    <w:rPr>
      <w:rFonts w:eastAsia="Calibri" w:eastAsiaTheme="minorHAnsi"/>
      <w:lang w:eastAsia="en-US"/>
    </w:rPr>
  </w:style>
  <w:style w:type="character" w:styleId="Style14" w:customStyle="1">
    <w:name w:val="Текст сноски Знак"/>
    <w:basedOn w:val="DefaultParagraphFont"/>
    <w:link w:val="ab"/>
    <w:uiPriority w:val="99"/>
    <w:qFormat/>
    <w:rsid w:val="002d41e2"/>
    <w:rPr>
      <w:rFonts w:eastAsia="Calibri" w:eastAsiaTheme="minorHAnsi"/>
      <w:sz w:val="20"/>
      <w:szCs w:val="20"/>
      <w:lang w:eastAsia="en-US"/>
    </w:rPr>
  </w:style>
  <w:style w:type="character" w:styleId="Style15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2d41e2"/>
    <w:rPr>
      <w:vertAlign w:val="superscript"/>
    </w:rPr>
  </w:style>
  <w:style w:type="character" w:styleId="Style16">
    <w:name w:val="Интернет-ссылка"/>
    <w:basedOn w:val="DefaultParagraphFont"/>
    <w:uiPriority w:val="99"/>
    <w:unhideWhenUsed/>
    <w:rsid w:val="00a92c1a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a92c1a"/>
    <w:rPr/>
  </w:style>
  <w:style w:type="character" w:styleId="22" w:customStyle="1">
    <w:name w:val="Заголовок 2 Знак"/>
    <w:basedOn w:val="DefaultParagraphFont"/>
    <w:link w:val="2"/>
    <w:uiPriority w:val="9"/>
    <w:semiHidden/>
    <w:qFormat/>
    <w:rsid w:val="00d954d6"/>
    <w:rPr>
      <w:rFonts w:ascii="Calibri Light" w:hAnsi="Calibri Light" w:eastAsia="等线 Light" w:cs="Times New Roman" w:asciiTheme="majorHAnsi" w:cstheme="majorBidi" w:eastAsiaTheme="majorEastAsia" w:hAnsiTheme="majorHAnsi"/>
      <w:color w:val="2F5496" w:themeColor="accent1" w:themeShade="bf"/>
      <w:sz w:val="26"/>
      <w:szCs w:val="26"/>
      <w:lang w:eastAsia="en-U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954d6"/>
    <w:rPr>
      <w:sz w:val="16"/>
      <w:szCs w:val="16"/>
    </w:rPr>
  </w:style>
  <w:style w:type="character" w:styleId="Style17" w:customStyle="1">
    <w:name w:val="Текст примечания Знак"/>
    <w:basedOn w:val="DefaultParagraphFont"/>
    <w:link w:val="af1"/>
    <w:uiPriority w:val="99"/>
    <w:semiHidden/>
    <w:qFormat/>
    <w:rsid w:val="00d954d6"/>
    <w:rPr>
      <w:rFonts w:eastAsia="Calibri" w:eastAsiaTheme="minorHAnsi"/>
      <w:sz w:val="20"/>
      <w:szCs w:val="20"/>
      <w:lang w:eastAsia="en-US"/>
    </w:rPr>
  </w:style>
  <w:style w:type="character" w:styleId="23" w:customStyle="1">
    <w:name w:val="Основной текст (2)_"/>
    <w:basedOn w:val="DefaultParagraphFont"/>
    <w:qFormat/>
    <w:rsid w:val="00d954d6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8"/>
      <w:szCs w:val="28"/>
      <w:u w:val="none"/>
    </w:rPr>
  </w:style>
  <w:style w:type="character" w:styleId="24" w:customStyle="1">
    <w:name w:val="Основной текст (2) + Полужирный"/>
    <w:basedOn w:val="23"/>
    <w:qFormat/>
    <w:rsid w:val="00d954d6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styleId="42" w:customStyle="1">
    <w:name w:val="Основной текст (4)_"/>
    <w:basedOn w:val="DefaultParagraphFont"/>
    <w:link w:val="42"/>
    <w:qFormat/>
    <w:rsid w:val="00d954d6"/>
    <w:rPr>
      <w:rFonts w:ascii="Times New Roman" w:hAnsi="Times New Roman" w:eastAsia="Times New Roman" w:cs="Times New Roman"/>
      <w:sz w:val="28"/>
      <w:szCs w:val="28"/>
      <w:shd w:fill="FFFFFF" w:val="clear"/>
    </w:rPr>
  </w:style>
  <w:style w:type="character" w:styleId="12" w:customStyle="1">
    <w:name w:val="Заголовок №1_"/>
    <w:basedOn w:val="DefaultParagraphFont"/>
    <w:link w:val="12"/>
    <w:qFormat/>
    <w:rsid w:val="00d954d6"/>
    <w:rPr>
      <w:rFonts w:ascii="Times New Roman" w:hAnsi="Times New Roman" w:eastAsia="Times New Roman" w:cs="Times New Roman"/>
      <w:sz w:val="28"/>
      <w:szCs w:val="28"/>
      <w:shd w:fill="FFFFFF" w:val="clear"/>
    </w:rPr>
  </w:style>
  <w:style w:type="character" w:styleId="43" w:customStyle="1">
    <w:name w:val="Основной текст (4) + Не полужирный"/>
    <w:basedOn w:val="42"/>
    <w:qFormat/>
    <w:rsid w:val="00d954d6"/>
    <w:rPr>
      <w:rFonts w:ascii="Times New Roman" w:hAnsi="Times New Roman" w:eastAsia="Times New Roman" w:cs="Times New Roman"/>
      <w:color w:val="000000"/>
      <w:spacing w:val="0"/>
      <w:w w:val="100"/>
      <w:sz w:val="28"/>
      <w:szCs w:val="28"/>
      <w:shd w:fill="FFFFFF" w:val="clear"/>
      <w:lang w:val="ru-RU" w:eastAsia="ru-RU" w:bidi="ru-RU"/>
    </w:rPr>
  </w:style>
  <w:style w:type="character" w:styleId="7" w:customStyle="1">
    <w:name w:val="Основной текст (7)_"/>
    <w:basedOn w:val="DefaultParagraphFont"/>
    <w:link w:val="70"/>
    <w:qFormat/>
    <w:rsid w:val="00d954d6"/>
    <w:rPr>
      <w:rFonts w:ascii="Times New Roman" w:hAnsi="Times New Roman" w:eastAsia="Times New Roman" w:cs="Times New Roman"/>
      <w:i/>
      <w:iCs/>
      <w:sz w:val="28"/>
      <w:szCs w:val="28"/>
      <w:shd w:fill="FFFFFF" w:val="clear"/>
    </w:rPr>
  </w:style>
  <w:style w:type="character" w:styleId="9" w:customStyle="1">
    <w:name w:val="Основной текст (9)_"/>
    <w:basedOn w:val="DefaultParagraphFont"/>
    <w:link w:val="90"/>
    <w:qFormat/>
    <w:rsid w:val="00d954d6"/>
    <w:rPr>
      <w:rFonts w:ascii="Times New Roman" w:hAnsi="Times New Roman" w:eastAsia="Times New Roman" w:cs="Times New Roman"/>
      <w:i/>
      <w:iCs/>
      <w:sz w:val="28"/>
      <w:szCs w:val="28"/>
      <w:shd w:fill="FFFFFF" w:val="clear"/>
    </w:rPr>
  </w:style>
  <w:style w:type="character" w:styleId="71" w:customStyle="1">
    <w:name w:val="Основной текст (7) + Не курсив"/>
    <w:basedOn w:val="7"/>
    <w:qFormat/>
    <w:rsid w:val="00d954d6"/>
    <w:rPr>
      <w:rFonts w:ascii="Times New Roman" w:hAnsi="Times New Roman" w:eastAsia="Times New Roman" w:cs="Times New Roman"/>
      <w:i/>
      <w:iCs/>
      <w:color w:val="000000"/>
      <w:spacing w:val="0"/>
      <w:w w:val="100"/>
      <w:sz w:val="28"/>
      <w:szCs w:val="28"/>
      <w:shd w:fill="FFFFFF" w:val="clear"/>
      <w:lang w:val="ru-RU" w:eastAsia="ru-RU" w:bidi="ru-RU"/>
    </w:rPr>
  </w:style>
  <w:style w:type="character" w:styleId="25" w:customStyle="1">
    <w:name w:val="Основной текст (2) + Курсив"/>
    <w:basedOn w:val="23"/>
    <w:qFormat/>
    <w:rsid w:val="00d954d6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styleId="26" w:customStyle="1">
    <w:name w:val="Основной текст (2)"/>
    <w:basedOn w:val="23"/>
    <w:qFormat/>
    <w:rsid w:val="00d954d6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styleId="2Arial12pt" w:customStyle="1">
    <w:name w:val="Основной текст (2) + Arial;12 pt"/>
    <w:basedOn w:val="23"/>
    <w:qFormat/>
    <w:rsid w:val="00d954d6"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styleId="2Arial11pt" w:customStyle="1">
    <w:name w:val="Основной текст (2) + Arial;11 pt;Полужирный"/>
    <w:basedOn w:val="23"/>
    <w:qFormat/>
    <w:rsid w:val="00d954d6"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styleId="121" w:customStyle="1">
    <w:name w:val="Заголовок №1 (2)_"/>
    <w:basedOn w:val="DefaultParagraphFont"/>
    <w:link w:val="121"/>
    <w:qFormat/>
    <w:rsid w:val="00d954d6"/>
    <w:rPr>
      <w:rFonts w:ascii="Times New Roman" w:hAnsi="Times New Roman" w:eastAsia="Times New Roman" w:cs="Times New Roman"/>
      <w:sz w:val="28"/>
      <w:szCs w:val="28"/>
      <w:shd w:fill="FFFFFF" w:val="clear"/>
    </w:rPr>
  </w:style>
  <w:style w:type="character" w:styleId="Strong">
    <w:name w:val="Strong"/>
    <w:basedOn w:val="DefaultParagraphFont"/>
    <w:uiPriority w:val="22"/>
    <w:qFormat/>
    <w:rsid w:val="00d954d6"/>
    <w:rPr>
      <w:b/>
      <w:bCs/>
    </w:rPr>
  </w:style>
  <w:style w:type="character" w:styleId="Style18" w:customStyle="1">
    <w:name w:val="Тема примечания Знак"/>
    <w:basedOn w:val="Style17"/>
    <w:link w:val="af5"/>
    <w:uiPriority w:val="99"/>
    <w:semiHidden/>
    <w:qFormat/>
    <w:rsid w:val="00d954d6"/>
    <w:rPr>
      <w:rFonts w:eastAsia="Calibri" w:eastAsiaTheme="minorHAnsi"/>
      <w:b/>
      <w:bCs/>
      <w:sz w:val="20"/>
      <w:szCs w:val="20"/>
      <w:lang w:eastAsia="en-US"/>
    </w:rPr>
  </w:style>
  <w:style w:type="character" w:styleId="13" w:customStyle="1">
    <w:name w:val="Неразрешенное упоминание1"/>
    <w:basedOn w:val="DefaultParagraphFont"/>
    <w:uiPriority w:val="99"/>
    <w:semiHidden/>
    <w:unhideWhenUsed/>
    <w:qFormat/>
    <w:rsid w:val="00d954d6"/>
    <w:rPr>
      <w:color w:val="605E5C"/>
      <w:shd w:fill="E1DFDD" w:val="clear"/>
    </w:rPr>
  </w:style>
  <w:style w:type="character" w:styleId="14" w:customStyle="1">
    <w:name w:val="Текст сноски Знак1"/>
    <w:basedOn w:val="DefaultParagraphFont"/>
    <w:uiPriority w:val="99"/>
    <w:semiHidden/>
    <w:qFormat/>
    <w:rsid w:val="00d954d6"/>
    <w:rPr>
      <w:rFonts w:eastAsia="Calibri" w:eastAsiaTheme="minorHAnsi"/>
      <w:sz w:val="20"/>
      <w:szCs w:val="20"/>
      <w:lang w:eastAsia="en-US"/>
    </w:rPr>
  </w:style>
  <w:style w:type="character" w:styleId="15" w:customStyle="1">
    <w:name w:val="Стиль1 Знак"/>
    <w:basedOn w:val="22"/>
    <w:link w:val="15"/>
    <w:qFormat/>
    <w:rsid w:val="00d954d6"/>
    <w:rPr>
      <w:rFonts w:ascii="Times New Roman" w:hAnsi="Times New Roman" w:eastAsia="等线 Light" w:cs="Times New Roman" w:eastAsiaTheme="majorEastAsia"/>
      <w:b/>
      <w:color w:val="2F5496" w:themeColor="accent1" w:themeShade="bf"/>
      <w:sz w:val="26"/>
      <w:szCs w:val="26"/>
      <w:lang w:eastAsia="en-US"/>
    </w:rPr>
  </w:style>
  <w:style w:type="character" w:styleId="27" w:customStyle="1">
    <w:name w:val="Стиль2 Знак"/>
    <w:basedOn w:val="DefaultParagraphFont"/>
    <w:link w:val="27"/>
    <w:qFormat/>
    <w:rsid w:val="00d954d6"/>
    <w:rPr>
      <w:rFonts w:ascii="Times New Roman" w:hAnsi="Times New Roman" w:eastAsia="Calibri" w:cs="Times New Roman" w:eastAsiaTheme="minorHAnsi"/>
      <w:szCs w:val="22"/>
      <w:lang w:eastAsia="en-US"/>
    </w:rPr>
  </w:style>
  <w:style w:type="character" w:styleId="Style19" w:customStyle="1">
    <w:name w:val="Верхний колонтитул Знак"/>
    <w:basedOn w:val="DefaultParagraphFont"/>
    <w:link w:val="af7"/>
    <w:uiPriority w:val="99"/>
    <w:qFormat/>
    <w:rsid w:val="00516c29"/>
    <w:rPr>
      <w:rFonts w:eastAsia="Calibri" w:eastAsiaTheme="minorHAnsi"/>
      <w:lang w:eastAsia="en-US"/>
    </w:rPr>
  </w:style>
  <w:style w:type="character" w:styleId="Style20" w:customStyle="1">
    <w:name w:val="Нижний колонтитул Знак"/>
    <w:basedOn w:val="DefaultParagraphFont"/>
    <w:link w:val="af9"/>
    <w:uiPriority w:val="99"/>
    <w:qFormat/>
    <w:rsid w:val="00516c29"/>
    <w:rPr>
      <w:rFonts w:eastAsia="Calibri" w:eastAsiaTheme="minorHAnsi"/>
      <w:lang w:eastAsia="en-US"/>
    </w:rPr>
  </w:style>
  <w:style w:type="character" w:styleId="31" w:customStyle="1">
    <w:name w:val="Заголовок 3 Знак"/>
    <w:basedOn w:val="DefaultParagraphFont"/>
    <w:link w:val="3"/>
    <w:uiPriority w:val="9"/>
    <w:semiHidden/>
    <w:qFormat/>
    <w:rsid w:val="00e70535"/>
    <w:rPr>
      <w:rFonts w:ascii="Calibri Light" w:hAnsi="Calibri Light" w:eastAsia="等线 Light" w:cs="Times New Roman" w:asciiTheme="majorHAnsi" w:cstheme="majorBidi" w:eastAsiaTheme="majorEastAsia" w:hAnsiTheme="majorHAnsi"/>
      <w:b/>
      <w:bCs/>
      <w:color w:val="4472C4" w:themeColor="accent1"/>
      <w:lang w:eastAsia="en-US"/>
    </w:rPr>
  </w:style>
  <w:style w:type="character" w:styleId="28" w:customStyle="1">
    <w:name w:val="Неразрешенное упоминание2"/>
    <w:basedOn w:val="DefaultParagraphFont"/>
    <w:uiPriority w:val="99"/>
    <w:semiHidden/>
    <w:unhideWhenUsed/>
    <w:qFormat/>
    <w:rsid w:val="005928df"/>
    <w:rPr>
      <w:color w:val="605E5C"/>
      <w:shd w:fill="E1DFDD" w:val="clear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ascii="Times New Roman" w:hAnsi="Times New Roman"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Times New Roman" w:hAnsi="Times New Roman" w:cs="Symbol"/>
    </w:rPr>
  </w:style>
  <w:style w:type="character" w:styleId="ListLabel14">
    <w:name w:val="ListLabel 14"/>
    <w:qFormat/>
    <w:rPr>
      <w:rFonts w:eastAsia="Calibri" w:cs="Times New Roman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ascii="Times New Roman" w:hAnsi="Times New Roman" w:eastAsia="Calibri" w:cs="Times New Roman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b/>
      <w:i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Symbol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Symbo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cs="Symbol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Wingdings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Wingdings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Wingdings"/>
    </w:rPr>
  </w:style>
  <w:style w:type="character" w:styleId="ListLabel50">
    <w:name w:val="ListLabel 50"/>
    <w:qFormat/>
    <w:rPr>
      <w:rFonts w:cs="Symbol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ascii="Times New Roman" w:hAnsi="Times New Roman"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5">
    <w:name w:val="ListLabel 55"/>
    <w:qFormat/>
    <w:rPr>
      <w:rFonts w:ascii="Times New Roman" w:hAnsi="Times New Roman" w:cs="Times New Roman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ascii="Times New Roman" w:hAnsi="Times New Roman" w:cs="Times New Roman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ascii="Times New Roman" w:hAnsi="Times New Roman" w:cs="Times New Roman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Courier New"/>
    </w:rPr>
  </w:style>
  <w:style w:type="character" w:styleId="ListLabel74">
    <w:name w:val="ListLabel 74"/>
    <w:qFormat/>
    <w:rPr>
      <w:rFonts w:ascii="Times New Roman" w:hAnsi="Times New Roman" w:cs="Times New Roman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ascii="Times New Roman" w:hAnsi="Times New Roman" w:cs="Times New Roman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ascii="Times New Roman" w:hAnsi="Times New Roman" w:cs="Times New Roman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Courier New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Courier New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Courier New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eastAsia="Calibri" w:cs="Times New Roman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Wingdings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Wingdings"/>
    </w:rPr>
  </w:style>
  <w:style w:type="character" w:styleId="ListLabel104">
    <w:name w:val="ListLabel 104"/>
    <w:qFormat/>
    <w:rPr>
      <w:rFonts w:cs="Symbol"/>
    </w:rPr>
  </w:style>
  <w:style w:type="character" w:styleId="ListLabel105">
    <w:name w:val="ListLabel 105"/>
    <w:qFormat/>
    <w:rPr>
      <w:rFonts w:cs="Courier New"/>
    </w:rPr>
  </w:style>
  <w:style w:type="character" w:styleId="ListLabel106">
    <w:name w:val="ListLabel 106"/>
    <w:qFormat/>
    <w:rPr>
      <w:rFonts w:cs="Wingdings"/>
    </w:rPr>
  </w:style>
  <w:style w:type="character" w:styleId="ListLabel107">
    <w:name w:val="ListLabel 107"/>
    <w:qFormat/>
    <w:rPr>
      <w:rFonts w:eastAsia="Calibri" w:cs="Times New Roman"/>
    </w:rPr>
  </w:style>
  <w:style w:type="character" w:styleId="ListLabel108">
    <w:name w:val="ListLabel 108"/>
    <w:qFormat/>
    <w:rPr>
      <w:rFonts w:cs="Courier New"/>
    </w:rPr>
  </w:style>
  <w:style w:type="character" w:styleId="ListLabel109">
    <w:name w:val="ListLabel 109"/>
    <w:qFormat/>
    <w:rPr>
      <w:rFonts w:cs="Wingdings"/>
    </w:rPr>
  </w:style>
  <w:style w:type="character" w:styleId="ListLabel110">
    <w:name w:val="ListLabel 110"/>
    <w:qFormat/>
    <w:rPr>
      <w:rFonts w:cs="Symbol"/>
    </w:rPr>
  </w:style>
  <w:style w:type="character" w:styleId="ListLabel111">
    <w:name w:val="ListLabel 111"/>
    <w:qFormat/>
    <w:rPr>
      <w:rFonts w:cs="Courier New"/>
    </w:rPr>
  </w:style>
  <w:style w:type="character" w:styleId="ListLabel112">
    <w:name w:val="ListLabel 112"/>
    <w:qFormat/>
    <w:rPr>
      <w:rFonts w:cs="Wingdings"/>
    </w:rPr>
  </w:style>
  <w:style w:type="character" w:styleId="ListLabel113">
    <w:name w:val="ListLabel 113"/>
    <w:qFormat/>
    <w:rPr>
      <w:rFonts w:cs="Symbol"/>
    </w:rPr>
  </w:style>
  <w:style w:type="character" w:styleId="ListLabel114">
    <w:name w:val="ListLabel 114"/>
    <w:qFormat/>
    <w:rPr>
      <w:rFonts w:cs="Courier New"/>
    </w:rPr>
  </w:style>
  <w:style w:type="character" w:styleId="ListLabel115">
    <w:name w:val="ListLabel 115"/>
    <w:qFormat/>
    <w:rPr>
      <w:rFonts w:cs="Wingdings"/>
    </w:rPr>
  </w:style>
  <w:style w:type="character" w:styleId="ListLabel116">
    <w:name w:val="ListLabel 116"/>
    <w:qFormat/>
    <w:rPr>
      <w:rFonts w:cs="Courier New"/>
    </w:rPr>
  </w:style>
  <w:style w:type="character" w:styleId="ListLabel117">
    <w:name w:val="ListLabel 117"/>
    <w:qFormat/>
    <w:rPr>
      <w:rFonts w:cs="Wingdings"/>
    </w:rPr>
  </w:style>
  <w:style w:type="character" w:styleId="ListLabel118">
    <w:name w:val="ListLabel 118"/>
    <w:qFormat/>
    <w:rPr>
      <w:rFonts w:cs="Symbol"/>
    </w:rPr>
  </w:style>
  <w:style w:type="character" w:styleId="ListLabel119">
    <w:name w:val="ListLabel 119"/>
    <w:qFormat/>
    <w:rPr>
      <w:rFonts w:cs="Courier New"/>
    </w:rPr>
  </w:style>
  <w:style w:type="character" w:styleId="ListLabel120">
    <w:name w:val="ListLabel 120"/>
    <w:qFormat/>
    <w:rPr>
      <w:rFonts w:cs="Wingdings"/>
    </w:rPr>
  </w:style>
  <w:style w:type="character" w:styleId="ListLabel121">
    <w:name w:val="ListLabel 121"/>
    <w:qFormat/>
    <w:rPr>
      <w:rFonts w:cs="Symbol"/>
    </w:rPr>
  </w:style>
  <w:style w:type="character" w:styleId="ListLabel122">
    <w:name w:val="ListLabel 122"/>
    <w:qFormat/>
    <w:rPr>
      <w:rFonts w:cs="Courier New"/>
    </w:rPr>
  </w:style>
  <w:style w:type="character" w:styleId="ListLabel123">
    <w:name w:val="ListLabel 123"/>
    <w:qFormat/>
    <w:rPr>
      <w:rFonts w:cs="Wingdings"/>
    </w:rPr>
  </w:style>
  <w:style w:type="character" w:styleId="ListLabel124">
    <w:name w:val="ListLabel 124"/>
    <w:qFormat/>
    <w:rPr>
      <w:rFonts w:cs="Courier New"/>
    </w:rPr>
  </w:style>
  <w:style w:type="character" w:styleId="ListLabel125">
    <w:name w:val="ListLabel 125"/>
    <w:qFormat/>
    <w:rPr>
      <w:rFonts w:cs="Wingdings"/>
    </w:rPr>
  </w:style>
  <w:style w:type="character" w:styleId="ListLabel126">
    <w:name w:val="ListLabel 126"/>
    <w:qFormat/>
    <w:rPr>
      <w:rFonts w:cs="Symbol"/>
    </w:rPr>
  </w:style>
  <w:style w:type="character" w:styleId="ListLabel127">
    <w:name w:val="ListLabel 127"/>
    <w:qFormat/>
    <w:rPr>
      <w:rFonts w:cs="Courier New"/>
    </w:rPr>
  </w:style>
  <w:style w:type="character" w:styleId="ListLabel128">
    <w:name w:val="ListLabel 128"/>
    <w:qFormat/>
    <w:rPr>
      <w:rFonts w:cs="Wingdings"/>
    </w:rPr>
  </w:style>
  <w:style w:type="character" w:styleId="ListLabel129">
    <w:name w:val="ListLabel 129"/>
    <w:qFormat/>
    <w:rPr>
      <w:rFonts w:cs="Symbol"/>
    </w:rPr>
  </w:style>
  <w:style w:type="character" w:styleId="ListLabel130">
    <w:name w:val="ListLabel 130"/>
    <w:qFormat/>
    <w:rPr>
      <w:rFonts w:cs="Courier New"/>
    </w:rPr>
  </w:style>
  <w:style w:type="character" w:styleId="ListLabel131">
    <w:name w:val="ListLabel 131"/>
    <w:qFormat/>
    <w:rPr>
      <w:rFonts w:cs="Wingdings"/>
    </w:rPr>
  </w:style>
  <w:style w:type="character" w:styleId="ListLabel132">
    <w:name w:val="ListLabel 132"/>
    <w:qFormat/>
    <w:rPr>
      <w:rFonts w:cs="Times New Roman"/>
    </w:rPr>
  </w:style>
  <w:style w:type="character" w:styleId="ListLabel133">
    <w:name w:val="ListLabel 133"/>
    <w:qFormat/>
    <w:rPr>
      <w:rFonts w:cs="Courier New"/>
    </w:rPr>
  </w:style>
  <w:style w:type="character" w:styleId="ListLabel134">
    <w:name w:val="ListLabel 134"/>
    <w:qFormat/>
    <w:rPr>
      <w:rFonts w:cs="Wingdings"/>
    </w:rPr>
  </w:style>
  <w:style w:type="character" w:styleId="ListLabel135">
    <w:name w:val="ListLabel 135"/>
    <w:qFormat/>
    <w:rPr>
      <w:rFonts w:cs="Symbol"/>
    </w:rPr>
  </w:style>
  <w:style w:type="character" w:styleId="ListLabel136">
    <w:name w:val="ListLabel 136"/>
    <w:qFormat/>
    <w:rPr>
      <w:rFonts w:cs="Courier New"/>
    </w:rPr>
  </w:style>
  <w:style w:type="character" w:styleId="ListLabel137">
    <w:name w:val="ListLabel 137"/>
    <w:qFormat/>
    <w:rPr>
      <w:rFonts w:cs="Wingdings"/>
    </w:rPr>
  </w:style>
  <w:style w:type="character" w:styleId="ListLabel138">
    <w:name w:val="ListLabel 138"/>
    <w:qFormat/>
    <w:rPr>
      <w:rFonts w:cs="Symbol"/>
    </w:rPr>
  </w:style>
  <w:style w:type="character" w:styleId="ListLabel139">
    <w:name w:val="ListLabel 139"/>
    <w:qFormat/>
    <w:rPr>
      <w:rFonts w:cs="Courier New"/>
    </w:rPr>
  </w:style>
  <w:style w:type="character" w:styleId="ListLabel140">
    <w:name w:val="ListLabel 140"/>
    <w:qFormat/>
    <w:rPr>
      <w:rFonts w:cs="Wingdings"/>
    </w:rPr>
  </w:style>
  <w:style w:type="character" w:styleId="ListLabel141">
    <w:name w:val="ListLabel 141"/>
    <w:qFormat/>
    <w:rPr>
      <w:rFonts w:cs="Times New Roman"/>
    </w:rPr>
  </w:style>
  <w:style w:type="character" w:styleId="ListLabel142">
    <w:name w:val="ListLabel 142"/>
    <w:qFormat/>
    <w:rPr>
      <w:rFonts w:cs="Courier New"/>
    </w:rPr>
  </w:style>
  <w:style w:type="character" w:styleId="ListLabel143">
    <w:name w:val="ListLabel 143"/>
    <w:qFormat/>
    <w:rPr>
      <w:rFonts w:cs="Wingdings"/>
    </w:rPr>
  </w:style>
  <w:style w:type="character" w:styleId="ListLabel144">
    <w:name w:val="ListLabel 144"/>
    <w:qFormat/>
    <w:rPr>
      <w:rFonts w:cs="Symbol"/>
    </w:rPr>
  </w:style>
  <w:style w:type="character" w:styleId="ListLabel145">
    <w:name w:val="ListLabel 145"/>
    <w:qFormat/>
    <w:rPr>
      <w:rFonts w:cs="Courier New"/>
    </w:rPr>
  </w:style>
  <w:style w:type="character" w:styleId="ListLabel146">
    <w:name w:val="ListLabel 146"/>
    <w:qFormat/>
    <w:rPr>
      <w:rFonts w:cs="Wingdings"/>
    </w:rPr>
  </w:style>
  <w:style w:type="character" w:styleId="ListLabel147">
    <w:name w:val="ListLabel 147"/>
    <w:qFormat/>
    <w:rPr>
      <w:rFonts w:cs="Symbol"/>
    </w:rPr>
  </w:style>
  <w:style w:type="character" w:styleId="ListLabel148">
    <w:name w:val="ListLabel 148"/>
    <w:qFormat/>
    <w:rPr>
      <w:rFonts w:cs="Courier New"/>
    </w:rPr>
  </w:style>
  <w:style w:type="character" w:styleId="ListLabel149">
    <w:name w:val="ListLabel 149"/>
    <w:qFormat/>
    <w:rPr>
      <w:rFonts w:cs="Wingdings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Courier New"/>
    </w:rPr>
  </w:style>
  <w:style w:type="character" w:styleId="ListLabel152">
    <w:name w:val="ListLabel 152"/>
    <w:qFormat/>
    <w:rPr>
      <w:rFonts w:cs="Courier New"/>
    </w:rPr>
  </w:style>
  <w:style w:type="character" w:styleId="ListLabel153">
    <w:name w:val="ListLabel 153"/>
    <w:qFormat/>
    <w:rPr>
      <w:rFonts w:eastAsia="Calibri" w:cs="Times New Roman"/>
    </w:rPr>
  </w:style>
  <w:style w:type="character" w:styleId="ListLabel154">
    <w:name w:val="ListLabel 154"/>
    <w:qFormat/>
    <w:rPr>
      <w:rFonts w:cs="Courier New"/>
    </w:rPr>
  </w:style>
  <w:style w:type="character" w:styleId="ListLabel155">
    <w:name w:val="ListLabel 155"/>
    <w:qFormat/>
    <w:rPr>
      <w:rFonts w:cs="Courier New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eastAsia="Calibri" w:cs="Times New Roman"/>
    </w:rPr>
  </w:style>
  <w:style w:type="character" w:styleId="ListLabel158">
    <w:name w:val="ListLabel 158"/>
    <w:qFormat/>
    <w:rPr>
      <w:rFonts w:cs="Courier New"/>
    </w:rPr>
  </w:style>
  <w:style w:type="character" w:styleId="ListLabel159">
    <w:name w:val="ListLabel 159"/>
    <w:qFormat/>
    <w:rPr>
      <w:rFonts w:cs="Courier New"/>
    </w:rPr>
  </w:style>
  <w:style w:type="character" w:styleId="ListLabel160">
    <w:name w:val="ListLabel 160"/>
    <w:qFormat/>
    <w:rPr>
      <w:rFonts w:cs="Courier New"/>
    </w:rPr>
  </w:style>
  <w:style w:type="character" w:styleId="ListLabel161">
    <w:name w:val="ListLabel 161"/>
    <w:qFormat/>
    <w:rPr>
      <w:rFonts w:cs="Courier New"/>
    </w:rPr>
  </w:style>
  <w:style w:type="character" w:styleId="ListLabel162">
    <w:name w:val="ListLabel 162"/>
    <w:qFormat/>
    <w:rPr>
      <w:rFonts w:cs="Courier New"/>
    </w:rPr>
  </w:style>
  <w:style w:type="character" w:styleId="ListLabel163">
    <w:name w:val="ListLabel 163"/>
    <w:qFormat/>
    <w:rPr>
      <w:rFonts w:cs="Courier New"/>
    </w:rPr>
  </w:style>
  <w:style w:type="character" w:styleId="ListLabel164">
    <w:name w:val="ListLabel 164"/>
    <w:qFormat/>
    <w:rPr>
      <w:rFonts w:cs="Courier New"/>
    </w:rPr>
  </w:style>
  <w:style w:type="character" w:styleId="ListLabel165">
    <w:name w:val="ListLabel 165"/>
    <w:qFormat/>
    <w:rPr>
      <w:rFonts w:cs="Courier New"/>
    </w:rPr>
  </w:style>
  <w:style w:type="character" w:styleId="ListLabel166">
    <w:name w:val="ListLabel 166"/>
    <w:qFormat/>
    <w:rPr>
      <w:rFonts w:cs="Courier New"/>
    </w:rPr>
  </w:style>
  <w:style w:type="character" w:styleId="ListLabel167">
    <w:name w:val="ListLabel 167"/>
    <w:qFormat/>
    <w:rPr>
      <w:rFonts w:eastAsia="Calibri" w:cs="Times New Roman"/>
    </w:rPr>
  </w:style>
  <w:style w:type="character" w:styleId="ListLabel168">
    <w:name w:val="ListLabel 168"/>
    <w:qFormat/>
    <w:rPr>
      <w:rFonts w:cs="Courier New"/>
    </w:rPr>
  </w:style>
  <w:style w:type="character" w:styleId="ListLabel169">
    <w:name w:val="ListLabel 169"/>
    <w:qFormat/>
    <w:rPr>
      <w:rFonts w:cs="Courier New"/>
    </w:rPr>
  </w:style>
  <w:style w:type="character" w:styleId="ListLabel170">
    <w:name w:val="ListLabel 170"/>
    <w:qFormat/>
    <w:rPr>
      <w:rFonts w:cs="Courier New"/>
    </w:rPr>
  </w:style>
  <w:style w:type="character" w:styleId="ListLabel171">
    <w:name w:val="ListLabel 171"/>
    <w:qFormat/>
    <w:rPr>
      <w:rFonts w:ascii="Times New Roman" w:hAnsi="Times New Roman" w:eastAsia="Calibri" w:cs="Times New Roman"/>
    </w:rPr>
  </w:style>
  <w:style w:type="character" w:styleId="ListLabel172">
    <w:name w:val="ListLabel 172"/>
    <w:qFormat/>
    <w:rPr>
      <w:rFonts w:cs="Courier New"/>
    </w:rPr>
  </w:style>
  <w:style w:type="character" w:styleId="ListLabel173">
    <w:name w:val="ListLabel 173"/>
    <w:qFormat/>
    <w:rPr>
      <w:rFonts w:cs="Courier New"/>
    </w:rPr>
  </w:style>
  <w:style w:type="character" w:styleId="ListLabel174">
    <w:name w:val="ListLabel 174"/>
    <w:qFormat/>
    <w:rPr>
      <w:rFonts w:cs="Courier New"/>
    </w:rPr>
  </w:style>
  <w:style w:type="character" w:styleId="ListLabel175">
    <w:name w:val="ListLabel 175"/>
    <w:qFormat/>
    <w:rPr>
      <w:rFonts w:cs="Times New Roman"/>
    </w:rPr>
  </w:style>
  <w:style w:type="character" w:styleId="ListLabel176">
    <w:name w:val="ListLabel 176"/>
    <w:qFormat/>
    <w:rPr>
      <w:rFonts w:cs="Times New Roman"/>
    </w:rPr>
  </w:style>
  <w:style w:type="character" w:styleId="ListLabel177">
    <w:name w:val="ListLabel 177"/>
    <w:qFormat/>
    <w:rPr>
      <w:rFonts w:ascii="Times New Roman" w:hAnsi="Times New Roman" w:cs="Times New Roman"/>
      <w:i/>
    </w:rPr>
  </w:style>
  <w:style w:type="character" w:styleId="ListLabel178">
    <w:name w:val="ListLabel 178"/>
    <w:qFormat/>
    <w:rPr>
      <w:rFonts w:ascii="Times New Roman" w:hAnsi="Times New Roman" w:cs="Times New Roman"/>
      <w:color w:val="2F2F2F"/>
      <w:szCs w:val="28"/>
      <w:u w:val="single"/>
    </w:rPr>
  </w:style>
  <w:style w:type="character" w:styleId="Style21">
    <w:name w:val="Символ сноски"/>
    <w:qFormat/>
    <w:rPr/>
  </w:style>
  <w:style w:type="character" w:styleId="Style22">
    <w:name w:val="Привязка концевой сноски"/>
    <w:rPr>
      <w:vertAlign w:val="superscript"/>
    </w:rPr>
  </w:style>
  <w:style w:type="character" w:styleId="Style23">
    <w:name w:val="Символ концевой сноски"/>
    <w:qFormat/>
    <w:rPr/>
  </w:style>
  <w:style w:type="paragraph" w:styleId="Style24">
    <w:name w:val="Заголовок"/>
    <w:basedOn w:val="Normal"/>
    <w:next w:val="Style25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25">
    <w:name w:val="Body Text"/>
    <w:basedOn w:val="Normal"/>
    <w:link w:val="a6"/>
    <w:rsid w:val="00bd3d72"/>
    <w:pPr>
      <w:ind w:right="-341" w:hanging="0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Style26">
    <w:name w:val="List"/>
    <w:basedOn w:val="Style25"/>
    <w:pPr/>
    <w:rPr>
      <w:rFonts w:cs="Noto Sans Devanagari"/>
    </w:rPr>
  </w:style>
  <w:style w:type="paragraph" w:styleId="Style27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8">
    <w:name w:val="Указатель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f2486b"/>
    <w:pPr/>
    <w:rPr>
      <w:rFonts w:ascii="Times New Roman" w:hAnsi="Times New Roman" w:cs="Times New Roman"/>
      <w:sz w:val="18"/>
      <w:szCs w:val="18"/>
    </w:rPr>
  </w:style>
  <w:style w:type="paragraph" w:styleId="Style29">
    <w:name w:val="Body Text Indent"/>
    <w:basedOn w:val="Normal"/>
    <w:link w:val="a8"/>
    <w:rsid w:val="00bd3d72"/>
    <w:pPr>
      <w:ind w:firstLine="720"/>
    </w:pPr>
    <w:rPr>
      <w:rFonts w:ascii="Times New Roman" w:hAnsi="Times New Roman" w:eastAsia="Times New Roman" w:cs="Times New Roman"/>
      <w:i/>
      <w:sz w:val="20"/>
      <w:szCs w:val="20"/>
      <w:lang w:eastAsia="ru-RU"/>
    </w:rPr>
  </w:style>
  <w:style w:type="paragraph" w:styleId="BodyTextIndent2">
    <w:name w:val="Body Text Indent 2"/>
    <w:basedOn w:val="Normal"/>
    <w:link w:val="22"/>
    <w:qFormat/>
    <w:rsid w:val="00bd3d72"/>
    <w:pPr>
      <w:spacing w:lineRule="auto" w:line="480" w:before="0" w:after="120"/>
      <w:ind w:left="283" w:hanging="0"/>
    </w:pPr>
    <w:rPr>
      <w:rFonts w:ascii="Times New Roman" w:hAnsi="Times New Roman" w:eastAsia="Times New Roman" w:cs="Times New Roman"/>
      <w:lang w:eastAsia="ru-RU"/>
    </w:rPr>
  </w:style>
  <w:style w:type="paragraph" w:styleId="ListParagraph">
    <w:name w:val="List Paragraph"/>
    <w:basedOn w:val="Normal"/>
    <w:link w:val="aa"/>
    <w:uiPriority w:val="34"/>
    <w:qFormat/>
    <w:rsid w:val="00bc064f"/>
    <w:pPr>
      <w:spacing w:before="0" w:after="0"/>
      <w:ind w:left="720" w:hanging="0"/>
      <w:contextualSpacing/>
    </w:pPr>
    <w:rPr/>
  </w:style>
  <w:style w:type="paragraph" w:styleId="Style30">
    <w:name w:val="Footnote Text"/>
    <w:basedOn w:val="Normal"/>
    <w:link w:val="ac"/>
    <w:uiPriority w:val="99"/>
    <w:unhideWhenUsed/>
    <w:rsid w:val="002d41e2"/>
    <w:pPr/>
    <w:rPr>
      <w:sz w:val="20"/>
      <w:szCs w:val="20"/>
    </w:rPr>
  </w:style>
  <w:style w:type="paragraph" w:styleId="S3" w:customStyle="1">
    <w:name w:val="s_3"/>
    <w:basedOn w:val="Normal"/>
    <w:qFormat/>
    <w:rsid w:val="00a92c1a"/>
    <w:pPr>
      <w:spacing w:beforeAutospacing="1" w:afterAutospacing="1"/>
    </w:pPr>
    <w:rPr>
      <w:rFonts w:ascii="Times New Roman" w:hAnsi="Times New Roman" w:eastAsia="Times New Roman" w:cs="Times New Roman"/>
      <w:lang w:eastAsia="zh-CN"/>
    </w:rPr>
  </w:style>
  <w:style w:type="paragraph" w:styleId="S1" w:customStyle="1">
    <w:name w:val="s_1"/>
    <w:basedOn w:val="Normal"/>
    <w:qFormat/>
    <w:rsid w:val="00a92c1a"/>
    <w:pPr>
      <w:spacing w:beforeAutospacing="1" w:afterAutospacing="1"/>
    </w:pPr>
    <w:rPr>
      <w:rFonts w:ascii="Times New Roman" w:hAnsi="Times New Roman" w:eastAsia="Times New Roman" w:cs="Times New Roman"/>
      <w:lang w:eastAsia="zh-CN"/>
    </w:rPr>
  </w:style>
  <w:style w:type="paragraph" w:styleId="S16" w:customStyle="1">
    <w:name w:val="s_16"/>
    <w:basedOn w:val="Normal"/>
    <w:qFormat/>
    <w:rsid w:val="00a92c1a"/>
    <w:pPr>
      <w:spacing w:beforeAutospacing="1" w:afterAutospacing="1"/>
    </w:pPr>
    <w:rPr>
      <w:rFonts w:ascii="Times New Roman" w:hAnsi="Times New Roman" w:eastAsia="Times New Roman" w:cs="Times New Roman"/>
      <w:lang w:eastAsia="zh-CN"/>
    </w:rPr>
  </w:style>
  <w:style w:type="paragraph" w:styleId="Annotationtext">
    <w:name w:val="annotation text"/>
    <w:basedOn w:val="Normal"/>
    <w:link w:val="af2"/>
    <w:uiPriority w:val="99"/>
    <w:semiHidden/>
    <w:unhideWhenUsed/>
    <w:qFormat/>
    <w:rsid w:val="00d954d6"/>
    <w:pPr/>
    <w:rPr>
      <w:sz w:val="20"/>
      <w:szCs w:val="20"/>
    </w:rPr>
  </w:style>
  <w:style w:type="paragraph" w:styleId="44" w:customStyle="1">
    <w:name w:val="Основной текст (4)"/>
    <w:basedOn w:val="Normal"/>
    <w:link w:val="41"/>
    <w:qFormat/>
    <w:rsid w:val="00d954d6"/>
    <w:pPr>
      <w:widowControl w:val="false"/>
      <w:shd w:val="clear" w:color="auto" w:fill="FFFFFF"/>
      <w:spacing w:lineRule="auto" w:before="480" w:after="3840"/>
      <w:jc w:val="right"/>
    </w:pPr>
    <w:rPr>
      <w:rFonts w:ascii="Times New Roman" w:hAnsi="Times New Roman" w:eastAsia="Times New Roman" w:cs="Times New Roman"/>
      <w:b/>
      <w:bCs/>
      <w:sz w:val="28"/>
      <w:szCs w:val="28"/>
      <w:lang w:eastAsia="zh-CN"/>
    </w:rPr>
  </w:style>
  <w:style w:type="paragraph" w:styleId="16" w:customStyle="1">
    <w:name w:val="Заголовок №1"/>
    <w:basedOn w:val="Normal"/>
    <w:link w:val="11"/>
    <w:qFormat/>
    <w:rsid w:val="00d954d6"/>
    <w:pPr>
      <w:widowControl w:val="false"/>
      <w:shd w:val="clear" w:color="auto" w:fill="FFFFFF"/>
      <w:spacing w:lineRule="exact" w:line="370" w:before="360" w:after="0"/>
      <w:jc w:val="both"/>
      <w:outlineLvl w:val="0"/>
    </w:pPr>
    <w:rPr>
      <w:rFonts w:ascii="Times New Roman" w:hAnsi="Times New Roman" w:eastAsia="Times New Roman" w:cs="Times New Roman"/>
      <w:b/>
      <w:bCs/>
      <w:sz w:val="28"/>
      <w:szCs w:val="28"/>
      <w:lang w:eastAsia="zh-CN"/>
    </w:rPr>
  </w:style>
  <w:style w:type="paragraph" w:styleId="72" w:customStyle="1">
    <w:name w:val="Основной текст (7)"/>
    <w:basedOn w:val="Normal"/>
    <w:link w:val="7"/>
    <w:qFormat/>
    <w:rsid w:val="00d954d6"/>
    <w:pPr>
      <w:widowControl w:val="false"/>
      <w:shd w:val="clear" w:color="auto" w:fill="FFFFFF"/>
      <w:spacing w:lineRule="exact" w:line="367"/>
      <w:ind w:hanging="6"/>
      <w:jc w:val="both"/>
    </w:pPr>
    <w:rPr>
      <w:rFonts w:ascii="Times New Roman" w:hAnsi="Times New Roman" w:eastAsia="Times New Roman" w:cs="Times New Roman"/>
      <w:i/>
      <w:iCs/>
      <w:sz w:val="28"/>
      <w:szCs w:val="28"/>
      <w:lang w:eastAsia="zh-CN"/>
    </w:rPr>
  </w:style>
  <w:style w:type="paragraph" w:styleId="91" w:customStyle="1">
    <w:name w:val="Основной текст (9)"/>
    <w:basedOn w:val="Normal"/>
    <w:link w:val="9"/>
    <w:qFormat/>
    <w:rsid w:val="00d954d6"/>
    <w:pPr>
      <w:widowControl w:val="false"/>
      <w:shd w:val="clear" w:color="auto" w:fill="FFFFFF"/>
      <w:spacing w:lineRule="exact" w:line="372" w:before="180" w:after="0"/>
      <w:ind w:firstLine="757"/>
    </w:pPr>
    <w:rPr>
      <w:rFonts w:ascii="Times New Roman" w:hAnsi="Times New Roman" w:eastAsia="Times New Roman" w:cs="Times New Roman"/>
      <w:b/>
      <w:bCs/>
      <w:i/>
      <w:iCs/>
      <w:sz w:val="28"/>
      <w:szCs w:val="28"/>
      <w:lang w:eastAsia="zh-CN"/>
    </w:rPr>
  </w:style>
  <w:style w:type="paragraph" w:styleId="122" w:customStyle="1">
    <w:name w:val="Заголовок №1 (2)"/>
    <w:basedOn w:val="Normal"/>
    <w:link w:val="120"/>
    <w:qFormat/>
    <w:rsid w:val="00d954d6"/>
    <w:pPr>
      <w:widowControl w:val="false"/>
      <w:shd w:val="clear" w:color="auto" w:fill="FFFFFF"/>
      <w:spacing w:lineRule="auto" w:before="180" w:after="360"/>
      <w:jc w:val="both"/>
      <w:outlineLvl w:val="0"/>
    </w:pPr>
    <w:rPr>
      <w:rFonts w:ascii="Times New Roman" w:hAnsi="Times New Roman" w:eastAsia="Times New Roman" w:cs="Times New Roman"/>
      <w:b/>
      <w:bCs/>
      <w:sz w:val="28"/>
      <w:szCs w:val="28"/>
      <w:lang w:eastAsia="zh-CN"/>
    </w:rPr>
  </w:style>
  <w:style w:type="paragraph" w:styleId="NormalWeb">
    <w:name w:val="Normal (Web)"/>
    <w:basedOn w:val="Normal"/>
    <w:uiPriority w:val="99"/>
    <w:unhideWhenUsed/>
    <w:qFormat/>
    <w:rsid w:val="00d954d6"/>
    <w:pPr>
      <w:spacing w:beforeAutospacing="1" w:afterAutospacing="1"/>
    </w:pPr>
    <w:rPr>
      <w:rFonts w:ascii="Times New Roman" w:hAnsi="Times New Roman" w:eastAsia="Times New Roman" w:cs="Times New Roman"/>
      <w:lang w:eastAsia="ru-RU"/>
    </w:rPr>
  </w:style>
  <w:style w:type="paragraph" w:styleId="Annotationsubject">
    <w:name w:val="annotation subject"/>
    <w:basedOn w:val="Annotationtext"/>
    <w:link w:val="af6"/>
    <w:uiPriority w:val="99"/>
    <w:semiHidden/>
    <w:unhideWhenUsed/>
    <w:qFormat/>
    <w:rsid w:val="00d954d6"/>
    <w:pPr/>
    <w:rPr>
      <w:b/>
      <w:bCs/>
    </w:rPr>
  </w:style>
  <w:style w:type="paragraph" w:styleId="Pa20mailrucssattributepostfix" w:customStyle="1">
    <w:name w:val="pa20_mailru_css_attribute_postfix"/>
    <w:basedOn w:val="Normal"/>
    <w:qFormat/>
    <w:rsid w:val="00d954d6"/>
    <w:pPr>
      <w:spacing w:beforeAutospacing="1" w:afterAutospacing="1"/>
    </w:pPr>
    <w:rPr>
      <w:rFonts w:ascii="Times New Roman" w:hAnsi="Times New Roman" w:eastAsia="Times New Roman" w:cs="Times New Roman"/>
      <w:lang w:eastAsia="ru-RU"/>
    </w:rPr>
  </w:style>
  <w:style w:type="paragraph" w:styleId="ConsPlusNormal" w:customStyle="1">
    <w:name w:val="ConsPlusNormal"/>
    <w:qFormat/>
    <w:rsid w:val="00d954d6"/>
    <w:pPr>
      <w:widowControl w:val="false"/>
      <w:bidi w:val="0"/>
      <w:jc w:val="left"/>
    </w:pPr>
    <w:rPr>
      <w:rFonts w:ascii="Times New Roman" w:hAnsi="Times New Roman" w:cs="Times New Roman" w:eastAsia="等线" w:eastAsiaTheme="minorEastAsia"/>
      <w:color w:val="auto"/>
      <w:kern w:val="0"/>
      <w:sz w:val="24"/>
      <w:szCs w:val="24"/>
      <w:lang w:val="ru-RU" w:eastAsia="zh-CN" w:bidi="ar-SA"/>
    </w:rPr>
  </w:style>
  <w:style w:type="paragraph" w:styleId="17" w:customStyle="1">
    <w:name w:val="Стиль1"/>
    <w:basedOn w:val="2"/>
    <w:link w:val="16"/>
    <w:qFormat/>
    <w:rsid w:val="00d954d6"/>
    <w:pPr>
      <w:spacing w:lineRule="auto" w:line="259"/>
    </w:pPr>
    <w:rPr>
      <w:rFonts w:ascii="Times New Roman" w:hAnsi="Times New Roman" w:cs="Times New Roman"/>
      <w:b/>
    </w:rPr>
  </w:style>
  <w:style w:type="paragraph" w:styleId="29" w:customStyle="1">
    <w:name w:val="Стиль2"/>
    <w:basedOn w:val="Normal"/>
    <w:link w:val="28"/>
    <w:qFormat/>
    <w:rsid w:val="00d954d6"/>
    <w:pPr>
      <w:spacing w:lineRule="auto" w:line="276"/>
      <w:ind w:firstLine="709"/>
      <w:jc w:val="both"/>
    </w:pPr>
    <w:rPr>
      <w:rFonts w:ascii="Times New Roman" w:hAnsi="Times New Roman" w:cs="Times New Roman"/>
      <w:szCs w:val="22"/>
    </w:rPr>
  </w:style>
  <w:style w:type="paragraph" w:styleId="Empty" w:customStyle="1">
    <w:name w:val="empty"/>
    <w:basedOn w:val="Normal"/>
    <w:qFormat/>
    <w:rsid w:val="00d954d6"/>
    <w:pPr>
      <w:spacing w:beforeAutospacing="1" w:afterAutospacing="1"/>
    </w:pPr>
    <w:rPr>
      <w:rFonts w:ascii="Times New Roman" w:hAnsi="Times New Roman" w:eastAsia="Times New Roman" w:cs="Times New Roman"/>
      <w:lang w:eastAsia="zh-CN"/>
    </w:rPr>
  </w:style>
  <w:style w:type="paragraph" w:styleId="Style31">
    <w:name w:val="Header"/>
    <w:basedOn w:val="Normal"/>
    <w:link w:val="af8"/>
    <w:uiPriority w:val="99"/>
    <w:unhideWhenUsed/>
    <w:rsid w:val="00516c29"/>
    <w:pPr>
      <w:tabs>
        <w:tab w:val="center" w:pos="4677" w:leader="none"/>
        <w:tab w:val="right" w:pos="9355" w:leader="none"/>
      </w:tabs>
    </w:pPr>
    <w:rPr/>
  </w:style>
  <w:style w:type="paragraph" w:styleId="Style32">
    <w:name w:val="Footer"/>
    <w:basedOn w:val="Normal"/>
    <w:link w:val="afa"/>
    <w:uiPriority w:val="99"/>
    <w:unhideWhenUsed/>
    <w:rsid w:val="00516c29"/>
    <w:pPr>
      <w:tabs>
        <w:tab w:val="center" w:pos="4677" w:leader="none"/>
        <w:tab w:val="right" w:pos="9355" w:leader="none"/>
      </w:tabs>
    </w:pPr>
    <w:rPr/>
  </w:style>
  <w:style w:type="paragraph" w:styleId="Revision">
    <w:name w:val="Revision"/>
    <w:uiPriority w:val="99"/>
    <w:semiHidden/>
    <w:qFormat/>
    <w:rsid w:val="00284061"/>
    <w:pPr>
      <w:widowControl/>
      <w:bidi w:val="0"/>
      <w:jc w:val="left"/>
    </w:pPr>
    <w:rPr>
      <w:rFonts w:eastAsia="Calibri" w:eastAsiaTheme="minorHAnsi" w:ascii="Calibri" w:hAnsi="Calibri" w:cs="Arial"/>
      <w:color w:val="auto"/>
      <w:kern w:val="0"/>
      <w:sz w:val="24"/>
      <w:szCs w:val="24"/>
      <w:lang w:eastAsia="en-US" w:val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d74449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ecobiocentre.ru/ecostation/" TargetMode="External"/><Relationship Id="rId4" Type="http://schemas.openxmlformats.org/officeDocument/2006/relationships/image" Target="media/image2.png"/><Relationship Id="rId5" Type="http://schemas.openxmlformats.org/officeDocument/2006/relationships/footer" Target="footer1.xml"/><Relationship Id="rId6" Type="http://schemas.openxmlformats.org/officeDocument/2006/relationships/oleObject" Target="embeddings/oleObject1.bin"/><Relationship Id="rId7" Type="http://schemas.openxmlformats.org/officeDocument/2006/relationships/image" Target="media/image3.emf"/><Relationship Id="rId8" Type="http://schemas.openxmlformats.org/officeDocument/2006/relationships/oleObject" Target="embeddings/oleObject2.bin"/><Relationship Id="rId9" Type="http://schemas.openxmlformats.org/officeDocument/2006/relationships/image" Target="media/image4.emf"/><Relationship Id="rId10" Type="http://schemas.openxmlformats.org/officeDocument/2006/relationships/oleObject" Target="embeddings/oleObject3.bin"/><Relationship Id="rId11" Type="http://schemas.openxmlformats.org/officeDocument/2006/relationships/image" Target="media/image5.emf"/><Relationship Id="rId12" Type="http://schemas.openxmlformats.org/officeDocument/2006/relationships/oleObject" Target="embeddings/oleObject4.bin"/><Relationship Id="rId13" Type="http://schemas.openxmlformats.org/officeDocument/2006/relationships/image" Target="media/image6.emf"/><Relationship Id="rId14" Type="http://schemas.openxmlformats.org/officeDocument/2006/relationships/oleObject" Target="embeddings/oleObject5.bin"/><Relationship Id="rId15" Type="http://schemas.openxmlformats.org/officeDocument/2006/relationships/image" Target="media/image7.emf"/><Relationship Id="rId16" Type="http://schemas.openxmlformats.org/officeDocument/2006/relationships/hyperlink" Target="https://www.labirint.ru/pubhouse/833/" TargetMode="Externa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tif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30" Type="http://schemas.openxmlformats.org/officeDocument/2006/relationships/footer" Target="footer2.xml"/><Relationship Id="rId31" Type="http://schemas.openxmlformats.org/officeDocument/2006/relationships/footnotes" Target="footnotes.xml"/><Relationship Id="rId32" Type="http://schemas.openxmlformats.org/officeDocument/2006/relationships/numbering" Target="numbering.xm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<Relationship Id="rId3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9C9C4-FE15-EA4E-BE48-6B638EA28CA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LibreOffice/6.0.5.2$Linux_X86_64 LibreOffice_project/00m0$Build-2</Application>
  <Pages>58</Pages>
  <Words>17417</Words>
  <Characters>132350</Characters>
  <CharactersWithSpaces>148437</CharactersWithSpaces>
  <Paragraphs>1493</Paragraphs>
  <Company>HP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2020-07-28T16:46:00Z</dcterms:created>
  <dc:creator>Андрей Павлов</dc:creator>
  <dc:description/>
  <dc:language>ru-RU</dc:language>
  <cp:lastModifiedBy>miseevasa@gmail.com</cp:lastModifiedBy>
  <cp:lastPrinted>2020-06-17T07:19:00Z</cp:lastPrinted>
  <dcterms:modified xsi:type="dcterms:W3CDTF">2020-07-28T16:46:00Z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 Inc.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